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0D" w:rsidRPr="0099290D" w:rsidRDefault="0099290D" w:rsidP="009929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9290D" w:rsidRPr="0099290D" w:rsidRDefault="0099290D" w:rsidP="009929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9290D" w:rsidRPr="0099290D" w:rsidRDefault="0099290D" w:rsidP="009929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0D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99290D" w:rsidRPr="0099290D" w:rsidRDefault="0099290D" w:rsidP="009929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90D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99290D" w:rsidRDefault="0099290D" w:rsidP="0099290D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90D" w:rsidRDefault="0099290D" w:rsidP="0099290D">
      <w:pPr>
        <w:spacing w:line="192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90D">
        <w:rPr>
          <w:rFonts w:ascii="Times New Roman" w:hAnsi="Times New Roman" w:cs="Times New Roman"/>
          <w:sz w:val="28"/>
          <w:szCs w:val="28"/>
        </w:rPr>
        <w:t>10.11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                                п. Дубенский                                        №  59-п</w:t>
      </w:r>
    </w:p>
    <w:p w:rsidR="0099290D" w:rsidRDefault="0099290D" w:rsidP="0099290D">
      <w:pPr>
        <w:tabs>
          <w:tab w:val="left" w:pos="675"/>
          <w:tab w:val="center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71"/>
        <w:tblW w:w="141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29"/>
        <w:gridCol w:w="567"/>
        <w:gridCol w:w="4194"/>
      </w:tblGrid>
      <w:tr w:rsidR="0099290D" w:rsidTr="0099290D">
        <w:trPr>
          <w:trHeight w:val="973"/>
        </w:trPr>
        <w:tc>
          <w:tcPr>
            <w:tcW w:w="9426" w:type="dxa"/>
          </w:tcPr>
          <w:p w:rsidR="0099290D" w:rsidRDefault="0099290D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</w:t>
            </w:r>
          </w:p>
          <w:p w:rsidR="0099290D" w:rsidRDefault="0099290D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 бюджета Дубенского поссовета</w:t>
            </w:r>
          </w:p>
          <w:p w:rsidR="0099290D" w:rsidRPr="0099290D" w:rsidRDefault="0099290D" w:rsidP="0099290D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2019-2020 годов</w:t>
            </w:r>
          </w:p>
        </w:tc>
        <w:tc>
          <w:tcPr>
            <w:tcW w:w="567" w:type="dxa"/>
          </w:tcPr>
          <w:p w:rsidR="0099290D" w:rsidRDefault="00992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3" w:type="dxa"/>
          </w:tcPr>
          <w:p w:rsidR="0099290D" w:rsidRDefault="0099290D">
            <w:pPr>
              <w:ind w:left="3233" w:hanging="32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90D" w:rsidRDefault="0099290D" w:rsidP="0099290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подготовки проекта бюджета Дубенского поссовета  на 2018 год и на плановый период 2019 и 2020 годов:</w:t>
      </w:r>
    </w:p>
    <w:p w:rsidR="0099290D" w:rsidRDefault="0099290D" w:rsidP="0099290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методику формирования бюджета Дубенский поссовет  на 2018 год и на плановый период 2019 и 2020 годов согласно приложению.</w:t>
      </w:r>
    </w:p>
    <w:p w:rsidR="0099290D" w:rsidRDefault="0099290D" w:rsidP="0099290D">
      <w:pPr>
        <w:pStyle w:val="msonormalbullet2gif"/>
        <w:numPr>
          <w:ilvl w:val="0"/>
          <w:numId w:val="1"/>
        </w:numPr>
        <w:suppressAutoHyphens/>
        <w:spacing w:before="20" w:beforeAutospacing="0" w:after="20" w:afterAutospacing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290D" w:rsidRDefault="0099290D" w:rsidP="0099290D">
      <w:pPr>
        <w:pStyle w:val="msonormalbullet2gif"/>
        <w:numPr>
          <w:ilvl w:val="0"/>
          <w:numId w:val="1"/>
        </w:numPr>
        <w:suppressAutoHyphens/>
        <w:spacing w:before="20" w:beforeAutospacing="0" w:after="20" w:afterAutospacing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со дня его подписания.</w:t>
      </w:r>
    </w:p>
    <w:p w:rsidR="0099290D" w:rsidRDefault="0099290D" w:rsidP="0099290D">
      <w:pPr>
        <w:pStyle w:val="msonormalbullet2gif"/>
        <w:suppressAutoHyphens/>
        <w:ind w:left="927"/>
        <w:contextualSpacing/>
        <w:jc w:val="both"/>
        <w:rPr>
          <w:bCs/>
          <w:sz w:val="28"/>
          <w:szCs w:val="28"/>
        </w:rPr>
      </w:pPr>
    </w:p>
    <w:p w:rsidR="0099290D" w:rsidRDefault="0099290D" w:rsidP="009929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поссовета                                                                        В.И.Сидоров</w:t>
      </w:r>
    </w:p>
    <w:p w:rsidR="0099290D" w:rsidRDefault="0099290D" w:rsidP="0099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Разослано: бухгалтерии сельсовета, финансовый отдел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прокурору района, в дело</w:t>
      </w:r>
    </w:p>
    <w:p w:rsidR="0099290D" w:rsidRDefault="0099290D" w:rsidP="0099290D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9290D" w:rsidRDefault="0099290D" w:rsidP="0099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99290D" w:rsidRDefault="0099290D" w:rsidP="0099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99290D" w:rsidRDefault="0099290D" w:rsidP="0099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к  постановлению</w:t>
      </w:r>
    </w:p>
    <w:p w:rsidR="0099290D" w:rsidRDefault="0099290D" w:rsidP="0099290D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Дубенский поссовет</w:t>
      </w:r>
    </w:p>
    <w:p w:rsidR="0099290D" w:rsidRDefault="0099290D" w:rsidP="0099290D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9290D" w:rsidRDefault="0099290D" w:rsidP="0099290D">
      <w:pPr>
        <w:spacing w:after="0"/>
        <w:ind w:left="5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10.11.2017 № 59-п</w:t>
      </w:r>
    </w:p>
    <w:p w:rsidR="0099290D" w:rsidRDefault="0099290D" w:rsidP="0099290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99290D" w:rsidRDefault="0099290D" w:rsidP="0099290D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бюджета  Дубенского поссовета на 2018 год</w:t>
      </w:r>
    </w:p>
    <w:p w:rsidR="0099290D" w:rsidRDefault="0099290D" w:rsidP="0099290D">
      <w:pPr>
        <w:pStyle w:val="ConsNormal"/>
        <w:ind w:righ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2019 и 2020 годов</w:t>
      </w:r>
    </w:p>
    <w:p w:rsidR="0099290D" w:rsidRDefault="0099290D" w:rsidP="0099290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основные подходы к формированию доходов, порядок и методику планирования бюджетных ассигнований бюджета поселения на 2018 год и на плановый период 2019 и 2020 годов. Методика включает в себя разделы, определяющие порядок прогнозирования доходов и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по направлениям бюджетной политики.</w:t>
      </w:r>
    </w:p>
    <w:p w:rsidR="0099290D" w:rsidRDefault="0099290D" w:rsidP="009929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основу составления бюджета Дубенского поссовета  на 2018 год и на плановый период 2019 и 2020 годов положен проект бюджетного прогноза  муниципального образования Дубенский поссовет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на долгосрочный период, прогноз социально-экономического развития Дубенский поссовет  на 2018 год и на плановый период 2019 и 2020 годов, основные направления налоговой политики и основные направления бюджетной политики на 2018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годов, а также приоритеты бюджетной и налоговой политики, установленные на федеральном и областном уровнях.</w:t>
      </w:r>
    </w:p>
    <w:p w:rsidR="0099290D" w:rsidRDefault="0099290D" w:rsidP="0099290D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90D" w:rsidRDefault="0099290D" w:rsidP="0099290D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Прогноз доходов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бюджета  Дубенского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поссовета</w:t>
      </w:r>
    </w:p>
    <w:p w:rsidR="0099290D" w:rsidRDefault="0099290D" w:rsidP="009929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Для расчета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 используются:</w:t>
      </w:r>
    </w:p>
    <w:p w:rsidR="0099290D" w:rsidRDefault="0099290D" w:rsidP="009929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показатели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из прогнозируемого фонда оплаты труда на 2018 год и на плановый период 2019 и 2020 годов, за исключением сумм налоговых вычетов, не подлежащих налогообложению; </w:t>
      </w:r>
    </w:p>
    <w:p w:rsidR="0099290D" w:rsidRDefault="0099290D" w:rsidP="0099290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динамика налоговой базы по налогу согласно данным отчёта по формам № 5-НДФЛ «Отчёт о налоговой базе и структуре начислений по налогу на доходы физических лиц, удерживаемому налоговыми агентами» и № 5-ДДК «Отчёт о декларировании доходов физическими лицами» сложившаяся за предыдущие периоды (налоговые вычеты, ставки, суммы налога, подлежащие возврату из бюджета);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направления бюджетной и налоговой политики, установленные на федеральном уровне, на очередной финансовый год и плановый период.</w:t>
      </w:r>
    </w:p>
    <w:p w:rsidR="0099290D" w:rsidRDefault="0099290D" w:rsidP="0099290D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Расчёт прогнозного объёма поступлений налога на доходы физических лиц осуществляется по методу прямого расчёта налоговой базы с использованием методов экстраполяции и  индексации (прогнозные значения показателей, ставки, налоговые льготы по налогу, уровень собираемости).</w:t>
      </w:r>
    </w:p>
    <w:p w:rsidR="0099290D" w:rsidRDefault="0099290D" w:rsidP="0099290D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прогнозный объем поступлений в бюджет налога на доходы физических лиц (</w:t>
      </w:r>
      <w:r>
        <w:rPr>
          <w:rFonts w:ascii="Times New Roman" w:hAnsi="Times New Roman" w:cs="Times New Roman"/>
          <w:b/>
          <w:sz w:val="28"/>
          <w:szCs w:val="28"/>
        </w:rPr>
        <w:t>НДФЛ всего</w:t>
      </w:r>
      <w:r>
        <w:rPr>
          <w:rFonts w:ascii="Times New Roman" w:hAnsi="Times New Roman" w:cs="Times New Roman"/>
          <w:sz w:val="28"/>
          <w:szCs w:val="28"/>
        </w:rPr>
        <w:t>) определяется как сумма прогнозных поступлений каждого вида налога.</w:t>
      </w:r>
    </w:p>
    <w:p w:rsidR="0099290D" w:rsidRDefault="0099290D" w:rsidP="0099290D">
      <w:pPr>
        <w:shd w:val="clear" w:color="auto" w:fill="FFFFFF"/>
        <w:tabs>
          <w:tab w:val="left" w:pos="5812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НДФЛ всего = НДФЛ 1 + НДФЛ 2 </w:t>
      </w:r>
    </w:p>
    <w:p w:rsidR="0099290D" w:rsidRDefault="0099290D" w:rsidP="0099290D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9290D" w:rsidRDefault="0099290D" w:rsidP="0099290D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НДФЛ 1</w:t>
      </w:r>
      <w:r>
        <w:rPr>
          <w:rFonts w:ascii="Times New Roman" w:hAnsi="Times New Roman" w:cs="Times New Roman"/>
          <w:sz w:val="28"/>
          <w:szCs w:val="28"/>
        </w:rPr>
        <w:t xml:space="preserve"> – объём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 (КБК 182 1 01 02010 01 0000 110);</w:t>
      </w:r>
    </w:p>
    <w:p w:rsidR="0099290D" w:rsidRDefault="0099290D" w:rsidP="0099290D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НДФЛ 2</w:t>
      </w:r>
      <w:r>
        <w:rPr>
          <w:rFonts w:ascii="Times New Roman" w:hAnsi="Times New Roman" w:cs="Times New Roman"/>
          <w:sz w:val="28"/>
          <w:szCs w:val="28"/>
        </w:rPr>
        <w:t xml:space="preserve"> –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(КБК 182 1 01 02030 01 0000 110).</w:t>
      </w:r>
    </w:p>
    <w:p w:rsidR="0099290D" w:rsidRDefault="0099290D" w:rsidP="0099290D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Прогнозный объём поступлений налога на доходы физических лиц с доходов, источником которых является налоговый агент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(НДФЛ 1)</w:t>
      </w:r>
      <w:r>
        <w:rPr>
          <w:rFonts w:ascii="Times New Roman" w:hAnsi="Times New Roman" w:cs="Times New Roman"/>
          <w:sz w:val="28"/>
          <w:szCs w:val="28"/>
        </w:rPr>
        <w:t>, рассчитывается исходя из налоговой базы по налогу на доходы физических лиц по форме № 5-НДФЛ «Отчёт о налоговой базе и структуре начислений по налогу на доходы физических лиц, удерживаемому налоговыми агентами» и прогнозируемого роста фонда заработной платы по следующим формулам:</w:t>
      </w:r>
      <w:proofErr w:type="gramEnd"/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доходы, облагаемые по ставке 13 процентов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НДФЛ 1 = (((ФЗП 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/100) – В)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Ннор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</w:t>
      </w:r>
    </w:p>
    <w:p w:rsidR="0099290D" w:rsidRDefault="0099290D" w:rsidP="0099290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ФЗП </w:t>
      </w:r>
      <w:r>
        <w:rPr>
          <w:rFonts w:ascii="Times New Roman" w:hAnsi="Times New Roman" w:cs="Times New Roman"/>
          <w:sz w:val="28"/>
          <w:szCs w:val="28"/>
        </w:rPr>
        <w:t>– фонд заработной платы, тыс. рублей;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налога, %; 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логовые вычеты за последний отчетный год, тыс. рублей;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налога, подлежащая возврату по имущественным и социальным налоговым вычетам, тыс. рублей;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ур</w:t>
      </w:r>
      <w:proofErr w:type="gramEnd"/>
      <w:r>
        <w:rPr>
          <w:rFonts w:ascii="Times New Roman" w:hAnsi="Times New Roman" w:cs="Times New Roman"/>
          <w:sz w:val="28"/>
          <w:szCs w:val="28"/>
        </w:rPr>
        <w:t>овень собираемости налога, %;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 отчислений в районный бюджет согласно ст.58, 61.1, 61.2 БК РФ и Закона Оренбургской области о бюджете на очередной год и плановый период.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Прогнозный объём поступлений налога на доходы физических лиц с доходов, полученных физическими лицами в соответствии со статьей 228 Налогового кодекса Российской Федерации (</w:t>
      </w:r>
      <w:r>
        <w:rPr>
          <w:rFonts w:ascii="Times New Roman" w:hAnsi="Times New Roman" w:cs="Times New Roman"/>
          <w:b/>
          <w:sz w:val="28"/>
          <w:szCs w:val="28"/>
        </w:rPr>
        <w:t>НДФЛ 2</w:t>
      </w:r>
      <w:r>
        <w:rPr>
          <w:rFonts w:ascii="Times New Roman" w:hAnsi="Times New Roman" w:cs="Times New Roman"/>
          <w:sz w:val="28"/>
          <w:szCs w:val="28"/>
        </w:rPr>
        <w:t>), рассчитывается исходя из налоговой базы по налогу на доходы физических лиц по форме № 5-ДДК «Отчёт о декларировании доходов физическими лицами» сложившаяся за предыдущие периоды (налоговые вычеты, ставки, суммы налога, подлежащие возврату из бюджета) и показателей прогноза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Оренбургской области на очередной финансовый год и плановый период (прочие денежные доходы населения) по формуле: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НДФЛ 2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Пд2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Ннор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.,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– сумма налога, подлежащая к уплате (доплате) в бюджет, по предоставленным налогоплательщиками актуальным декларациям (отчет УФНС по Оренбургской области форма № 5-ДДК за 2016 год), тыс. рублей;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темп роста прочих денежных доходов населения на текущий финансовый год (показатели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района), %;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– темп роста прочих денежных доходов населения на очередной финансовый год (показатели прогноза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района), %;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Нно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 отчислений в районный бюджет согласно ст.58, 61.1, 61.2 БК РФ и Закона Оренбургской области о бюджете на очередной год и плановый период.</w:t>
      </w:r>
    </w:p>
    <w:p w:rsidR="0099290D" w:rsidRDefault="0099290D" w:rsidP="009929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доходы физических лиц зачисляется в бюджет поселения по нормативу в соответствии с положениями Бюджетного кодекса Российской Федерации, Законами Оренбургской области «О межбюджетных отношениях в Оренбургской области» и «Об областном бюджете на 2018 год и плановый период 2019 и 2020 годов» в размере 15%.</w:t>
      </w:r>
    </w:p>
    <w:p w:rsidR="0099290D" w:rsidRDefault="0099290D" w:rsidP="009929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Акцизы по подакцизным товарам (продукции), производимым на территории Российской Федерации, рассчитываются на основании прогнозных объемов реализации подакцизной продукции и ставок акцизов по следующей формуле:</w:t>
      </w:r>
    </w:p>
    <w:p w:rsidR="0099290D" w:rsidRDefault="0099290D" w:rsidP="009929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= (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N, где:</w:t>
      </w:r>
    </w:p>
    <w:p w:rsidR="0099290D" w:rsidRDefault="0099290D" w:rsidP="009929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290D" w:rsidRDefault="0099290D" w:rsidP="009929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– сумма акциза;</w:t>
      </w:r>
    </w:p>
    <w:p w:rsidR="0099290D" w:rsidRDefault="0099290D" w:rsidP="009929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– доходы от уплаты акцизов, зачисляемые в консолидированные бюджеты РФ </w:t>
      </w:r>
    </w:p>
    <w:p w:rsidR="0099290D" w:rsidRDefault="0099290D" w:rsidP="009929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– 10% зачисляемые в консолидированные бюджеты муниципальных образований</w:t>
      </w:r>
      <w:proofErr w:type="gramEnd"/>
    </w:p>
    <w:p w:rsidR="0099290D" w:rsidRDefault="0099290D" w:rsidP="009929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Н- 90%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зачисляемые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областной бюджет</w:t>
      </w:r>
    </w:p>
    <w:p w:rsidR="0099290D" w:rsidRDefault="0099290D" w:rsidP="009929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N-0,408% – норматив отчислений акцизов в бюджет муниципального образования.</w:t>
      </w:r>
    </w:p>
    <w:p w:rsidR="0099290D" w:rsidRDefault="0099290D" w:rsidP="009929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ЕСХН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 w:cs="Times New Roman"/>
          <w:sz w:val="28"/>
          <w:szCs w:val="28"/>
        </w:rPr>
        <w:t>И, где: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оценка начислений налога в текущем периоде;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– индекс-дефлятор продукции сельского хозяйства в хозяйствах всех категорий на соответствующий год.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расчете налога на имущество физических лиц в переходный период:</w:t>
      </w:r>
    </w:p>
    <w:p w:rsidR="0099290D" w:rsidRDefault="0099290D" w:rsidP="0099290D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290D" w:rsidRDefault="0099290D" w:rsidP="0099290D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Нимф = ((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Нкад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Нин)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Кперех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Нин)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9290D" w:rsidRDefault="0099290D" w:rsidP="0099290D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Нимф – прогнозируемая сумма налога;</w:t>
      </w:r>
    </w:p>
    <w:p w:rsidR="0099290D" w:rsidRDefault="0099290D" w:rsidP="009929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Нкад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умма налога, исчисленная исходя из кадастровой стоимости имущества;</w:t>
      </w:r>
    </w:p>
    <w:p w:rsidR="0099290D" w:rsidRDefault="0099290D" w:rsidP="009929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Нин – сумма налога, исчисленная исходя из инвентаризационной стоимости имущества;</w:t>
      </w:r>
    </w:p>
    <w:p w:rsidR="0099290D" w:rsidRDefault="0099290D" w:rsidP="009929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Кперех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который изменяется ежегодно в течение переходного периода.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0,2 – применительно к первому налоговому периоду;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0,4 – применительно ко второму налоговому периоду;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0,6 – применительно к третьему налоговому периоду;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0,8 – применительно к четвертому налоговому периоду.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расчетный уровень собираемости (средний процент за три предыдущих года).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Расчетный уровень собираемости определяется как среднее за 3 предыдущих года значение от деления поступлений (</w:t>
      </w:r>
      <w:r>
        <w:rPr>
          <w:rFonts w:ascii="Times New Roman" w:hAnsi="Times New Roman" w:cs="Times New Roman"/>
          <w:sz w:val="28"/>
          <w:szCs w:val="28"/>
        </w:rPr>
        <w:t xml:space="preserve">отчет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>№ 1-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НМ) на сумму начисленного налога (</w:t>
      </w:r>
      <w:r>
        <w:rPr>
          <w:rFonts w:ascii="Times New Roman" w:hAnsi="Times New Roman" w:cs="Times New Roman"/>
          <w:sz w:val="28"/>
          <w:szCs w:val="28"/>
        </w:rPr>
        <w:t xml:space="preserve">отчет по форме </w:t>
      </w:r>
      <w:r>
        <w:rPr>
          <w:rFonts w:ascii="Times New Roman" w:eastAsia="Times New Roman" w:hAnsi="Times New Roman" w:cs="Times New Roman"/>
          <w:sz w:val="28"/>
          <w:szCs w:val="28"/>
        </w:rPr>
        <w:t>№ 5-МН), умноженное на 100 процентов.</w:t>
      </w:r>
    </w:p>
    <w:p w:rsidR="0099290D" w:rsidRDefault="0099290D" w:rsidP="0099290D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Нкад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/100,</w:t>
      </w:r>
    </w:p>
    <w:p w:rsidR="0099290D" w:rsidRDefault="0099290D" w:rsidP="0099290D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9290D" w:rsidRDefault="0099290D" w:rsidP="009929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Нин =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тек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ин/100,</w:t>
      </w:r>
    </w:p>
    <w:p w:rsidR="0099290D" w:rsidRDefault="0099290D" w:rsidP="0099290D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99290D" w:rsidRDefault="0099290D" w:rsidP="009929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тек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99290D" w:rsidRDefault="0099290D" w:rsidP="00992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К, где: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tabs>
          <w:tab w:val="left" w:pos="69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99290D" w:rsidRDefault="0099290D" w:rsidP="0099290D">
      <w:pPr>
        <w:tabs>
          <w:tab w:val="left" w:pos="69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 года);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ставка, установленная в соответствии со статьей 394 Налогового кодекса Российской Федерации. 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 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tabs>
          <w:tab w:val="left" w:pos="69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земельный налог;</w:t>
      </w:r>
    </w:p>
    <w:p w:rsidR="0099290D" w:rsidRDefault="0099290D" w:rsidP="0099290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99290D" w:rsidRDefault="0099290D" w:rsidP="0099290D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ставка, установленная статьей 394 Налогового кодекса Российской Федерации. </w:t>
      </w:r>
    </w:p>
    <w:p w:rsidR="0099290D" w:rsidRDefault="0099290D" w:rsidP="009929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6.Арендная плата от сдачи в аренду имущества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определяется исходя из наличия  заключенных договоров аренды и действующих ставок оплаты, расположенные в границах поселений, зачисляется в бюджет поселения в размере 100 процентов.</w:t>
      </w:r>
    </w:p>
    <w:p w:rsidR="0099290D" w:rsidRDefault="0099290D" w:rsidP="009929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Денежные взыскания (штрафы) за нарушение действующего законодательства на 2018 год планируются исходя из фактических поступлений за 4 месяца  2016 года и восемь месяцев 2017года.</w:t>
      </w:r>
    </w:p>
    <w:p w:rsidR="0099290D" w:rsidRDefault="0099290D" w:rsidP="009929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90D" w:rsidRDefault="0099290D" w:rsidP="0099290D">
      <w:pPr>
        <w:ind w:firstLine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Планирование бюджетных ассигнований бюджета поселения</w:t>
      </w:r>
    </w:p>
    <w:p w:rsidR="0099290D" w:rsidRDefault="0099290D" w:rsidP="0099290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подходы к формированию объемов бюджетного финансирования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Методика предназначена для планирования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на стадии формирования прогнозных предельных объемов бюджетных ассигнований.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1. Общие положения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lastRenderedPageBreak/>
        <w:t>Расчет бюджетных ассигнований может осуществляться: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а) нормативным методом - объем бюджетных ассигнований определяется на основе нормативов, утвержденных в соответствующих нормативных правовых актах;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б) методом индексации - объем бюджетных ассигнований рассчитывается путем индексации на прогнозируемый среднегодовой индекс потребительских цен (иной коэффициент) объема бюджетного ассигнования текущего финансового года; 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в) плановым методом - объем бюджетных ассигнований устанавливается в соответствии с показателями, указанными в нормативном правовом акте, предусматривающем осуществление бюджетных инвестиций в объекты капитального строительства муниципальной собственности Беляевского района; 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г) иным методом, отличным от нормативного метода, метода индексации и планового метода.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Проектом бюджета муниципального образования Дубенский поссовет на 2018 год и на плановый период 2019 - 2020 годов предусматривается его балансировка между доходами и расходами при отсутствии дефицита по всем годам планируемого периода.  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 Планирование бюджетных ассигнований бюджета муниципального образования Дубенский поссовет   на 2018 год и на плановый период 2019 - 2020 годов будет осуществляться на основе следующих, общих для всех, подходов: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2.1</w:t>
      </w:r>
      <w:r>
        <w:rPr>
          <w:noProof/>
          <w:snapToGrid w:val="0"/>
        </w:rPr>
        <w:t xml:space="preserve"> 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>Прогнозируемая индексация тарифов на оплату коммунальных услуг ожидается к действующим ценам  во втором полугодии 2017 года  с учетом ежегодного роста – на 4 процента.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2.2. Расходы на оплату труда.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2.2.1. Фонд оплаты труда работникам муниципальных автономных, бюджетных и казенных учреждений будет сформирован в пределах существующей  по состоянию на  1 октября 2017 года штатной численности работников, действующего с 01.01.2018 года  МРОТ в размере </w:t>
      </w:r>
      <w:r>
        <w:rPr>
          <w:noProof/>
          <w:snapToGrid w:val="0"/>
          <w:sz w:val="28"/>
          <w:szCs w:val="28"/>
        </w:rPr>
        <w:t>9489</w:t>
      </w: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рублей, с учетом: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- положений по оплате труда, утвержденных муниципальными правовыми актами;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lastRenderedPageBreak/>
        <w:t>- экономии в связи с выплатой пособий по временной нетрудоспособности в размере 5%;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- страховых взносов в государственные внебюджетные фонды в размере 30,2 процента.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2.2.2. Фонд оплаты труда работников органов местного самоуправления муниципального образования  Дубенский поссовет  будет сформирован: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-по муниципальным должностям в соответствии с решением Совета  депутатов муниципального образования  Дубенский поссовет  от 20.11.2012 № 84  «О нормативах денежного содержания главы муниципального образования Дубенский поссовет»;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- по должностям муниципальной службы в соответствии с решением Совета  депутатов муниципального образования Дубенский поссоет от 20.11.2012 № 85 "Об утверждении Положения об оплате труда муниципальных служащих муниципального образования  Дубенский поссовет»  (с изменениями и дополнениями); 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- с учетом численности согласно утвержденным штатным расписаниям а по состоянию на 1 октября 2017 года;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- экономии в связи с выплатой пособий по временной нетрудоспособности в размере 5%;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- страховых взносов в государственные внебюджетные фонды в размере 30,2 процента.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2.3. Расходы на оплату коммунальных услуг будут рассчитываться на уровне первоначального бюджета 2017 года с учетом прогнозируемого роста тарифов и оптимизации расходов.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>2.4. Расходы на уплату налогов будут рассчитываться на уровне уточненного плана расходов бюджета на 01.10.2017 года с учетом оптимизации расходов по платежам при пользовании природными ресурсами.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2.5. Расходы на обеспечение мер социальной поддержки отдельных категорий граждан будут рассчитываться в соответствии с действующими муниципальными правовыми актами органов местного самоуправления. </w:t>
      </w:r>
    </w:p>
    <w:p w:rsidR="0099290D" w:rsidRDefault="0099290D" w:rsidP="009929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по муниципальному дорожному фонду устанавливаются Положением о порядке образования и расходования средств дорожного фонда администрации  Дубенского поссовета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290D" w:rsidRDefault="0099290D" w:rsidP="009929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99290D" w:rsidRDefault="0099290D" w:rsidP="0099290D">
      <w:pPr>
        <w:ind w:firstLine="709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2.7. Другие расходы, кроме расходов, указанных в </w:t>
      </w:r>
      <w:hyperlink r:id="rId5" w:anchor="Par369" w:history="1">
        <w:r>
          <w:rPr>
            <w:rStyle w:val="a3"/>
            <w:rFonts w:ascii="Times New Roman" w:hAnsi="Times New Roman" w:cs="Times New Roman"/>
            <w:noProof/>
            <w:snapToGrid w:val="0"/>
            <w:sz w:val="28"/>
            <w:szCs w:val="28"/>
          </w:rPr>
          <w:t>пунктах 2.</w:t>
        </w:r>
      </w:hyperlink>
      <w:r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1. – </w:t>
      </w:r>
      <w:hyperlink r:id="rId6" w:anchor="Par422" w:history="1">
        <w:r>
          <w:rPr>
            <w:rStyle w:val="a3"/>
            <w:rFonts w:ascii="Times New Roman" w:hAnsi="Times New Roman" w:cs="Times New Roman"/>
            <w:noProof/>
            <w:snapToGrid w:val="0"/>
            <w:sz w:val="28"/>
            <w:szCs w:val="28"/>
          </w:rPr>
          <w:t>2.</w:t>
        </w:r>
      </w:hyperlink>
      <w:r>
        <w:rPr>
          <w:rFonts w:ascii="Times New Roman" w:hAnsi="Times New Roman" w:cs="Times New Roman"/>
          <w:noProof/>
          <w:snapToGrid w:val="0"/>
          <w:sz w:val="28"/>
          <w:szCs w:val="28"/>
        </w:rPr>
        <w:t>6., будут рассчитываться в пределах, доведенных до субъектов бюджетного планирования прогнозных предельных объемов бюджетных ассигнований на 2018 год и на плановый период 2019 - 2020 годов.</w:t>
      </w:r>
    </w:p>
    <w:p w:rsidR="0099290D" w:rsidRDefault="0099290D" w:rsidP="009929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99290D" w:rsidRDefault="0099290D" w:rsidP="0099290D">
      <w:pPr>
        <w:rPr>
          <w:rFonts w:ascii="Times New Roman" w:hAnsi="Times New Roman" w:cs="Times New Roman"/>
          <w:sz w:val="28"/>
          <w:szCs w:val="28"/>
        </w:rPr>
      </w:pPr>
    </w:p>
    <w:p w:rsidR="00140C10" w:rsidRPr="0099290D" w:rsidRDefault="00140C10">
      <w:pPr>
        <w:rPr>
          <w:rFonts w:ascii="Times New Roman" w:hAnsi="Times New Roman" w:cs="Times New Roman"/>
          <w:sz w:val="28"/>
          <w:szCs w:val="28"/>
        </w:rPr>
      </w:pPr>
    </w:p>
    <w:sectPr w:rsidR="00140C10" w:rsidRPr="0099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290D"/>
    <w:rsid w:val="00140C10"/>
    <w:rsid w:val="0099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9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99290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99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290D"/>
    <w:rPr>
      <w:color w:val="0000FF"/>
      <w:u w:val="single"/>
    </w:rPr>
  </w:style>
  <w:style w:type="paragraph" w:styleId="a4">
    <w:name w:val="No Spacing"/>
    <w:uiPriority w:val="1"/>
    <w:qFormat/>
    <w:rsid w:val="009929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7;&#1089;%20&#1044;&#1091;&#1073;&#1077;&#1085;&#1089;&#1082;&#1080;&#1081;\Desktop\&#1052;&#1077;&#1090;&#1086;&#1076;&#1080;&#1082;&#1072;%20&#1085;&#1072;%202018&#1075;.docx" TargetMode="External"/><Relationship Id="rId5" Type="http://schemas.openxmlformats.org/officeDocument/2006/relationships/hyperlink" Target="file:///C:\Users\&#1087;&#1089;%20&#1044;&#1091;&#1073;&#1077;&#1085;&#1089;&#1082;&#1080;&#1081;\Desktop\&#1052;&#1077;&#1090;&#1086;&#1076;&#1080;&#1082;&#1072;%20&#1085;&#1072;%202018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2400</Words>
  <Characters>13683</Characters>
  <Application>Microsoft Office Word</Application>
  <DocSecurity>0</DocSecurity>
  <Lines>114</Lines>
  <Paragraphs>32</Paragraphs>
  <ScaleCrop>false</ScaleCrop>
  <Company/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2017-11-13T07:14:00Z</cp:lastPrinted>
  <dcterms:created xsi:type="dcterms:W3CDTF">2017-11-13T07:11:00Z</dcterms:created>
  <dcterms:modified xsi:type="dcterms:W3CDTF">2017-11-13T07:18:00Z</dcterms:modified>
</cp:coreProperties>
</file>