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3" w:rsidRDefault="00830663" w:rsidP="00830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                                                              МУНИЦИПАЛЬНОГО ОБРАЗОВАНИЯ                                              ДУБЕНСКИЙ ПОССОВЕТ                                                                   БЕЛЯЕВСКОГО РАЙОНА ОРЕНБУРГСКОЙ ОБЛАСТИ                               Второго созыва </w:t>
      </w:r>
    </w:p>
    <w:p w:rsidR="00830663" w:rsidRDefault="00830663" w:rsidP="00830663">
      <w:pPr>
        <w:jc w:val="center"/>
        <w:rPr>
          <w:b/>
          <w:bCs/>
          <w:sz w:val="28"/>
          <w:szCs w:val="28"/>
        </w:rPr>
      </w:pPr>
    </w:p>
    <w:p w:rsidR="00830663" w:rsidRDefault="008C20A7" w:rsidP="00830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830663" w:rsidRDefault="00830663" w:rsidP="00830663">
      <w:pPr>
        <w:jc w:val="center"/>
        <w:rPr>
          <w:b/>
          <w:bCs/>
          <w:sz w:val="28"/>
          <w:szCs w:val="28"/>
        </w:rPr>
      </w:pPr>
    </w:p>
    <w:p w:rsidR="00830663" w:rsidRDefault="00725D95" w:rsidP="00830663">
      <w:pPr>
        <w:rPr>
          <w:sz w:val="28"/>
          <w:szCs w:val="28"/>
        </w:rPr>
      </w:pPr>
      <w:r>
        <w:rPr>
          <w:sz w:val="28"/>
          <w:szCs w:val="28"/>
        </w:rPr>
        <w:t xml:space="preserve">10 сентября </w:t>
      </w:r>
      <w:r w:rsidR="00830663">
        <w:rPr>
          <w:sz w:val="28"/>
          <w:szCs w:val="28"/>
        </w:rPr>
        <w:t xml:space="preserve">2015 года                   п. Дубенский               </w:t>
      </w:r>
      <w:r>
        <w:rPr>
          <w:sz w:val="28"/>
          <w:szCs w:val="28"/>
        </w:rPr>
        <w:t xml:space="preserve">                      №  186</w:t>
      </w:r>
    </w:p>
    <w:p w:rsidR="0023279F" w:rsidRDefault="0023279F"/>
    <w:p w:rsidR="00830663" w:rsidRDefault="00830663"/>
    <w:p w:rsidR="003A6D5D" w:rsidRPr="003A6D5D" w:rsidRDefault="003A6D5D" w:rsidP="003A6D5D">
      <w:pPr>
        <w:jc w:val="center"/>
        <w:rPr>
          <w:sz w:val="28"/>
          <w:szCs w:val="28"/>
        </w:rPr>
      </w:pPr>
      <w:r w:rsidRPr="003A6D5D">
        <w:rPr>
          <w:sz w:val="28"/>
          <w:szCs w:val="28"/>
        </w:rPr>
        <w:t xml:space="preserve">Об утверждении Положения о видах поощрения </w:t>
      </w:r>
      <w:r>
        <w:rPr>
          <w:sz w:val="28"/>
          <w:szCs w:val="28"/>
        </w:rPr>
        <w:t xml:space="preserve">                                 </w:t>
      </w:r>
      <w:r w:rsidRPr="003A6D5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A6D5D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3A6D5D">
        <w:rPr>
          <w:sz w:val="28"/>
          <w:szCs w:val="28"/>
        </w:rPr>
        <w:t>органов местного самоуправления</w:t>
      </w:r>
    </w:p>
    <w:p w:rsidR="003A6D5D" w:rsidRPr="003A6D5D" w:rsidRDefault="003A6D5D" w:rsidP="003A6D5D">
      <w:pPr>
        <w:jc w:val="center"/>
        <w:rPr>
          <w:sz w:val="28"/>
          <w:szCs w:val="28"/>
        </w:rPr>
      </w:pPr>
      <w:r w:rsidRPr="003A6D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Дубенский пос</w:t>
      </w:r>
      <w:r w:rsidRPr="003A6D5D">
        <w:rPr>
          <w:sz w:val="28"/>
          <w:szCs w:val="28"/>
        </w:rPr>
        <w:t xml:space="preserve">совет </w:t>
      </w:r>
    </w:p>
    <w:p w:rsidR="003A6D5D" w:rsidRPr="003A6D5D" w:rsidRDefault="003A6D5D" w:rsidP="003A6D5D">
      <w:pPr>
        <w:jc w:val="center"/>
        <w:rPr>
          <w:sz w:val="28"/>
          <w:szCs w:val="28"/>
        </w:rPr>
      </w:pPr>
      <w:r w:rsidRPr="003A6D5D">
        <w:rPr>
          <w:sz w:val="28"/>
          <w:szCs w:val="28"/>
        </w:rPr>
        <w:t>и порядок  их применения</w:t>
      </w:r>
    </w:p>
    <w:p w:rsidR="00830663" w:rsidRDefault="00830663"/>
    <w:p w:rsidR="00EE6155" w:rsidRDefault="00EE6155"/>
    <w:p w:rsidR="00EE6155" w:rsidRPr="00EE6155" w:rsidRDefault="00EE6155" w:rsidP="00EE6155">
      <w:pPr>
        <w:ind w:firstLine="567"/>
        <w:jc w:val="both"/>
        <w:rPr>
          <w:sz w:val="28"/>
          <w:szCs w:val="20"/>
        </w:rPr>
      </w:pPr>
      <w:r w:rsidRPr="00EE6155">
        <w:rPr>
          <w:sz w:val="28"/>
          <w:szCs w:val="20"/>
        </w:rPr>
        <w:t>В соответствии с Трудовым кодексом Российской Федерации, Федеральным законом «О муниципальной службе в Российской Федерации» от 02.03.2007 № 25-ФЗ, Законом Оренбургской области «О муниципальной службе в Оренбургской области» 01.07.2015 № 3283/885-</w:t>
      </w:r>
      <w:r w:rsidRPr="00EE6155">
        <w:rPr>
          <w:sz w:val="28"/>
          <w:szCs w:val="20"/>
          <w:lang w:val="en-US"/>
        </w:rPr>
        <w:t>V</w:t>
      </w:r>
      <w:r w:rsidRPr="00EE6155">
        <w:rPr>
          <w:sz w:val="28"/>
          <w:szCs w:val="20"/>
        </w:rPr>
        <w:t>-ОЗ, руководствуясь Уставом муниц</w:t>
      </w:r>
      <w:r>
        <w:rPr>
          <w:sz w:val="28"/>
          <w:szCs w:val="20"/>
        </w:rPr>
        <w:t>ипального образования Дубенский пос</w:t>
      </w:r>
      <w:r w:rsidRPr="00EE6155">
        <w:rPr>
          <w:sz w:val="28"/>
          <w:szCs w:val="28"/>
        </w:rPr>
        <w:t>совет</w:t>
      </w:r>
      <w:r w:rsidRPr="00EE6155">
        <w:rPr>
          <w:sz w:val="28"/>
          <w:szCs w:val="20"/>
        </w:rPr>
        <w:t>, Совет депутатов решил:</w:t>
      </w:r>
    </w:p>
    <w:p w:rsidR="00EE6155" w:rsidRPr="00EE6155" w:rsidRDefault="00EE6155" w:rsidP="00EE6155">
      <w:pPr>
        <w:ind w:firstLine="567"/>
        <w:jc w:val="both"/>
        <w:rPr>
          <w:sz w:val="28"/>
          <w:szCs w:val="20"/>
        </w:rPr>
      </w:pPr>
      <w:r w:rsidRPr="00EE6155">
        <w:rPr>
          <w:sz w:val="28"/>
          <w:szCs w:val="20"/>
        </w:rPr>
        <w:t>1. Утвердить Положение  «О видах поощрений муниципальных служащих органов местного самоуправления муници</w:t>
      </w:r>
      <w:r>
        <w:rPr>
          <w:sz w:val="28"/>
          <w:szCs w:val="20"/>
        </w:rPr>
        <w:t>пального образования Дубенский пос</w:t>
      </w:r>
      <w:r w:rsidRPr="00EE6155">
        <w:rPr>
          <w:sz w:val="28"/>
          <w:szCs w:val="28"/>
        </w:rPr>
        <w:t>совет</w:t>
      </w:r>
      <w:r w:rsidRPr="00EE6155">
        <w:rPr>
          <w:sz w:val="28"/>
          <w:szCs w:val="20"/>
        </w:rPr>
        <w:t xml:space="preserve"> и порядке их применения» согласно приложению.</w:t>
      </w:r>
    </w:p>
    <w:p w:rsidR="00EE6155" w:rsidRPr="00EE6155" w:rsidRDefault="00EE6155" w:rsidP="00EE6155">
      <w:pPr>
        <w:ind w:left="142" w:right="-144" w:firstLine="360"/>
        <w:jc w:val="both"/>
        <w:rPr>
          <w:rFonts w:eastAsia="Calibri"/>
          <w:sz w:val="28"/>
          <w:szCs w:val="28"/>
        </w:rPr>
      </w:pPr>
      <w:r w:rsidRPr="00EE6155">
        <w:rPr>
          <w:rFonts w:eastAsia="Calibri"/>
          <w:sz w:val="28"/>
          <w:szCs w:val="28"/>
        </w:rPr>
        <w:t xml:space="preserve">2. </w:t>
      </w:r>
      <w:proofErr w:type="gramStart"/>
      <w:r w:rsidRPr="00EE6155">
        <w:rPr>
          <w:rFonts w:eastAsia="Calibri"/>
          <w:sz w:val="28"/>
          <w:szCs w:val="28"/>
        </w:rPr>
        <w:t>Контроль за</w:t>
      </w:r>
      <w:proofErr w:type="gramEnd"/>
      <w:r w:rsidRPr="00EE6155"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политике. </w:t>
      </w:r>
    </w:p>
    <w:p w:rsidR="00EE6155" w:rsidRPr="00EE6155" w:rsidRDefault="00EE6155" w:rsidP="00EE6155">
      <w:pPr>
        <w:ind w:left="142" w:right="-144" w:firstLine="360"/>
        <w:jc w:val="both"/>
        <w:rPr>
          <w:rFonts w:eastAsia="Calibri"/>
          <w:sz w:val="28"/>
          <w:szCs w:val="28"/>
        </w:rPr>
      </w:pPr>
      <w:r w:rsidRPr="00EE6155">
        <w:rPr>
          <w:rFonts w:eastAsia="Calibri"/>
          <w:sz w:val="28"/>
          <w:szCs w:val="28"/>
        </w:rPr>
        <w:t>3. Настоящее решение вступает в силу  после его официального опубликования.</w:t>
      </w:r>
    </w:p>
    <w:p w:rsidR="00EE6155" w:rsidRPr="00EE6155" w:rsidRDefault="00EE6155" w:rsidP="00EE6155">
      <w:pPr>
        <w:ind w:left="142" w:right="-144" w:firstLine="360"/>
        <w:jc w:val="both"/>
        <w:rPr>
          <w:rFonts w:eastAsia="Calibri"/>
          <w:sz w:val="28"/>
          <w:szCs w:val="28"/>
        </w:rPr>
      </w:pPr>
    </w:p>
    <w:p w:rsidR="00EE6155" w:rsidRPr="00EE6155" w:rsidRDefault="00EE6155" w:rsidP="00EE6155">
      <w:pPr>
        <w:ind w:firstLine="567"/>
        <w:jc w:val="both"/>
        <w:rPr>
          <w:sz w:val="28"/>
          <w:szCs w:val="20"/>
        </w:rPr>
      </w:pPr>
    </w:p>
    <w:p w:rsidR="00EE6155" w:rsidRPr="00EE6155" w:rsidRDefault="00EE6155" w:rsidP="00EE6155">
      <w:pPr>
        <w:spacing w:line="276" w:lineRule="auto"/>
        <w:jc w:val="both"/>
        <w:rPr>
          <w:sz w:val="28"/>
          <w:szCs w:val="28"/>
        </w:rPr>
      </w:pPr>
      <w:r w:rsidRPr="00EE6155">
        <w:rPr>
          <w:sz w:val="28"/>
          <w:szCs w:val="28"/>
        </w:rPr>
        <w:t>Глава муниципального образования -</w:t>
      </w:r>
    </w:p>
    <w:p w:rsidR="00EE6155" w:rsidRPr="00EE6155" w:rsidRDefault="00EE6155" w:rsidP="00EE6155">
      <w:pPr>
        <w:jc w:val="both"/>
      </w:pPr>
      <w:r w:rsidRPr="00EE6155">
        <w:rPr>
          <w:sz w:val="28"/>
          <w:szCs w:val="28"/>
        </w:rPr>
        <w:t xml:space="preserve">председатель Совета депутатов                      </w:t>
      </w:r>
      <w:r>
        <w:rPr>
          <w:sz w:val="28"/>
          <w:szCs w:val="28"/>
        </w:rPr>
        <w:t xml:space="preserve">                      В.И. Сидоров</w:t>
      </w:r>
      <w:r w:rsidRPr="00EE6155">
        <w:rPr>
          <w:sz w:val="28"/>
          <w:szCs w:val="28"/>
        </w:rPr>
        <w:t xml:space="preserve">    </w:t>
      </w:r>
    </w:p>
    <w:p w:rsidR="00EE6155" w:rsidRPr="00EE6155" w:rsidRDefault="00EE6155" w:rsidP="00EE6155">
      <w:pPr>
        <w:jc w:val="both"/>
        <w:rPr>
          <w:sz w:val="28"/>
          <w:szCs w:val="28"/>
        </w:rPr>
      </w:pPr>
    </w:p>
    <w:tbl>
      <w:tblPr>
        <w:tblW w:w="15117" w:type="dxa"/>
        <w:tblLook w:val="04A0" w:firstRow="1" w:lastRow="0" w:firstColumn="1" w:lastColumn="0" w:noHBand="0" w:noVBand="1"/>
      </w:tblPr>
      <w:tblGrid>
        <w:gridCol w:w="10314"/>
        <w:gridCol w:w="4803"/>
      </w:tblGrid>
      <w:tr w:rsidR="00EE6155" w:rsidRPr="00EE6155" w:rsidTr="00EE6155">
        <w:tc>
          <w:tcPr>
            <w:tcW w:w="10314" w:type="dxa"/>
          </w:tcPr>
          <w:p w:rsidR="00EE6155" w:rsidRDefault="00EE6155" w:rsidP="00EE6155">
            <w:pPr>
              <w:ind w:right="-48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бухгалтерии пос</w:t>
            </w:r>
            <w:r w:rsidRPr="00EE6155">
              <w:rPr>
                <w:sz w:val="28"/>
                <w:szCs w:val="28"/>
              </w:rPr>
              <w:t>совета,</w:t>
            </w:r>
            <w:r>
              <w:rPr>
                <w:sz w:val="28"/>
                <w:szCs w:val="28"/>
              </w:rPr>
              <w:t xml:space="preserve">     </w:t>
            </w:r>
            <w:r w:rsidR="00725D95">
              <w:rPr>
                <w:sz w:val="28"/>
                <w:szCs w:val="28"/>
              </w:rPr>
              <w:t>прокурору, в дело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="00725D95">
              <w:rPr>
                <w:sz w:val="28"/>
                <w:szCs w:val="28"/>
              </w:rPr>
              <w:t xml:space="preserve"> </w:t>
            </w:r>
          </w:p>
          <w:p w:rsidR="008B2492" w:rsidRDefault="008B2492" w:rsidP="00EE6155">
            <w:pPr>
              <w:ind w:right="-4805"/>
              <w:rPr>
                <w:sz w:val="28"/>
                <w:szCs w:val="28"/>
              </w:rPr>
            </w:pPr>
          </w:p>
          <w:p w:rsidR="008B2492" w:rsidRDefault="008B2492" w:rsidP="00EE6155">
            <w:pPr>
              <w:ind w:right="-4805"/>
              <w:rPr>
                <w:sz w:val="28"/>
                <w:szCs w:val="28"/>
              </w:rPr>
            </w:pPr>
          </w:p>
          <w:p w:rsidR="008B2492" w:rsidRDefault="008B2492" w:rsidP="00EE6155">
            <w:pPr>
              <w:ind w:right="-4805"/>
              <w:rPr>
                <w:sz w:val="28"/>
                <w:szCs w:val="28"/>
              </w:rPr>
            </w:pPr>
          </w:p>
          <w:p w:rsidR="008B2492" w:rsidRDefault="008B2492" w:rsidP="00EE6155">
            <w:pPr>
              <w:ind w:right="-4805"/>
              <w:rPr>
                <w:sz w:val="28"/>
                <w:szCs w:val="28"/>
              </w:rPr>
            </w:pPr>
          </w:p>
          <w:p w:rsidR="008B2492" w:rsidRDefault="008B2492" w:rsidP="00EE6155">
            <w:pPr>
              <w:ind w:right="-4805"/>
              <w:rPr>
                <w:sz w:val="28"/>
                <w:szCs w:val="28"/>
              </w:rPr>
            </w:pPr>
          </w:p>
          <w:p w:rsidR="008B2492" w:rsidRDefault="008B2492" w:rsidP="00EE6155">
            <w:pPr>
              <w:ind w:right="-4805"/>
              <w:rPr>
                <w:sz w:val="28"/>
                <w:szCs w:val="28"/>
              </w:rPr>
            </w:pPr>
          </w:p>
          <w:p w:rsidR="008B2492" w:rsidRPr="00EE6155" w:rsidRDefault="008B2492" w:rsidP="00EE6155">
            <w:pPr>
              <w:ind w:right="-4805"/>
              <w:rPr>
                <w:sz w:val="28"/>
                <w:szCs w:val="28"/>
              </w:rPr>
            </w:pPr>
          </w:p>
          <w:p w:rsidR="00EE6155" w:rsidRPr="00EE6155" w:rsidRDefault="00EE6155" w:rsidP="00EE6155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EE6155" w:rsidRPr="00EE6155" w:rsidRDefault="00EE6155" w:rsidP="00EE6155">
            <w:pPr>
              <w:rPr>
                <w:sz w:val="28"/>
                <w:szCs w:val="28"/>
              </w:rPr>
            </w:pPr>
          </w:p>
          <w:p w:rsidR="00EE6155" w:rsidRPr="00EE6155" w:rsidRDefault="00EE6155" w:rsidP="00EE6155">
            <w:pPr>
              <w:jc w:val="center"/>
              <w:rPr>
                <w:sz w:val="28"/>
                <w:szCs w:val="28"/>
              </w:rPr>
            </w:pPr>
          </w:p>
          <w:p w:rsidR="00EE6155" w:rsidRPr="00EE6155" w:rsidRDefault="00EE6155" w:rsidP="00EE6155">
            <w:pPr>
              <w:jc w:val="center"/>
              <w:rPr>
                <w:sz w:val="28"/>
                <w:szCs w:val="28"/>
              </w:rPr>
            </w:pPr>
          </w:p>
          <w:p w:rsidR="00EE6155" w:rsidRPr="00EE6155" w:rsidRDefault="00EE6155" w:rsidP="00EE61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6155" w:rsidRPr="00EE6155" w:rsidRDefault="00EE6155" w:rsidP="00EE6155">
      <w:pPr>
        <w:rPr>
          <w:vanish/>
          <w:sz w:val="20"/>
          <w:szCs w:val="20"/>
        </w:rPr>
      </w:pPr>
    </w:p>
    <w:tbl>
      <w:tblPr>
        <w:tblpPr w:leftFromText="180" w:rightFromText="180" w:bottomFromText="200" w:horzAnchor="margin" w:tblpY="-516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E6155" w:rsidRPr="0099501A" w:rsidTr="00B32029">
        <w:tc>
          <w:tcPr>
            <w:tcW w:w="9606" w:type="dxa"/>
          </w:tcPr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right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lastRenderedPageBreak/>
              <w:t>Приложение</w:t>
            </w:r>
          </w:p>
          <w:p w:rsidR="008B2492" w:rsidRPr="0099501A" w:rsidRDefault="008B2492" w:rsidP="0099501A">
            <w:pPr>
              <w:jc w:val="right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к решению Совета депутатов</w:t>
            </w:r>
          </w:p>
          <w:p w:rsidR="008B2492" w:rsidRPr="0099501A" w:rsidRDefault="008B2492" w:rsidP="0099501A">
            <w:pPr>
              <w:jc w:val="right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B2492" w:rsidRPr="0099501A" w:rsidRDefault="008B2492" w:rsidP="0099501A">
            <w:pPr>
              <w:jc w:val="right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Дубенский поссовет</w:t>
            </w:r>
          </w:p>
          <w:p w:rsidR="008B2492" w:rsidRPr="0099501A" w:rsidRDefault="00725D95" w:rsidP="009950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10.09.2015  №  186</w:t>
            </w:r>
          </w:p>
          <w:p w:rsidR="008B2492" w:rsidRPr="0099501A" w:rsidRDefault="008B2492" w:rsidP="0099501A">
            <w:pPr>
              <w:jc w:val="right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B2492" w:rsidRPr="00767320" w:rsidRDefault="008B2492" w:rsidP="0099501A">
            <w:pPr>
              <w:jc w:val="center"/>
              <w:rPr>
                <w:b/>
                <w:sz w:val="28"/>
                <w:szCs w:val="28"/>
              </w:rPr>
            </w:pPr>
            <w:r w:rsidRPr="00767320">
              <w:rPr>
                <w:b/>
                <w:sz w:val="28"/>
                <w:szCs w:val="28"/>
              </w:rPr>
              <w:t>Положение</w:t>
            </w:r>
          </w:p>
          <w:p w:rsidR="008B2492" w:rsidRPr="00767320" w:rsidRDefault="008B2492" w:rsidP="0099501A">
            <w:pPr>
              <w:jc w:val="center"/>
              <w:rPr>
                <w:b/>
                <w:sz w:val="28"/>
                <w:szCs w:val="28"/>
              </w:rPr>
            </w:pPr>
            <w:r w:rsidRPr="00767320">
              <w:rPr>
                <w:b/>
                <w:sz w:val="28"/>
                <w:szCs w:val="28"/>
              </w:rPr>
              <w:t>о видах поощрений муниципальных служащих</w:t>
            </w:r>
          </w:p>
          <w:p w:rsidR="008B2492" w:rsidRPr="00767320" w:rsidRDefault="008B2492" w:rsidP="0099501A">
            <w:pPr>
              <w:jc w:val="center"/>
              <w:rPr>
                <w:b/>
                <w:sz w:val="28"/>
                <w:szCs w:val="28"/>
              </w:rPr>
            </w:pPr>
            <w:r w:rsidRPr="00767320">
              <w:rPr>
                <w:b/>
                <w:sz w:val="28"/>
                <w:szCs w:val="28"/>
              </w:rPr>
              <w:t>органов местного самоуправления муниципального образования</w:t>
            </w:r>
            <w:r w:rsidR="005C23A9" w:rsidRPr="00767320"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767320">
              <w:rPr>
                <w:b/>
                <w:sz w:val="28"/>
                <w:szCs w:val="28"/>
              </w:rPr>
              <w:t xml:space="preserve"> Дубенский поссовет и </w:t>
            </w:r>
            <w:proofErr w:type="gramStart"/>
            <w:r w:rsidRPr="00767320">
              <w:rPr>
                <w:b/>
                <w:sz w:val="28"/>
                <w:szCs w:val="28"/>
              </w:rPr>
              <w:t>порядке</w:t>
            </w:r>
            <w:proofErr w:type="gramEnd"/>
            <w:r w:rsidRPr="00767320">
              <w:rPr>
                <w:b/>
                <w:sz w:val="28"/>
                <w:szCs w:val="28"/>
              </w:rPr>
              <w:t xml:space="preserve"> их применения</w:t>
            </w:r>
          </w:p>
          <w:p w:rsidR="008B2492" w:rsidRPr="0099501A" w:rsidRDefault="008B2492" w:rsidP="0099501A">
            <w:pPr>
              <w:jc w:val="center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center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1. Общие положения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1.1. Поощрение муниципальных служащих органов местного самоуправления муниципального образования Дубенский поссовет (далее - муниципальных служащих) - это форма общественного признания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безупречной службе.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center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2. Основания для поощрения муниципальных служащих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2.1. Основанием для поощрения муниципальных служащих органов местного самоуправления муниципального образования Дубенский поссовет (далее - органов местного самоуправления) является: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1) образцовое выполнение муниципальным служащим должностных полномочий;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2) продолжительная и безупречная служба;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3) выполнение заданий особой важности и сложности;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4) другие достижения по службе.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2.2. Образцовое выполнение муниципальным служащим должностных полномочий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2.3. Безупречность службы определяется отсутствием дисциплинарных взысканий на дату оформления поощрения.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2.4. Важность и сложность задания в каждом конкретном случае определяется руководителем или органом, в компетенцию которого входит решение данного вопроса.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center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3. Виды поощрений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 xml:space="preserve">3.1. Основными видами поощрений муниципального служащего являются: 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1) объявление благодарности;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 xml:space="preserve">2) выплата единовременного денежного поощрения, в том числе в связи с выходом на пенсию за выслугу лет;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3) присвоение звания «Почетный гражданин Дубенского поссовета»;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4) награждение муниципальными наградами «Почетная грамота муниципального образования Дубенский поссовет», «Памятный адрес муниципального образования Дубенский поссовет», «Благодарность муниципального образования Дубенский поссовет», «Благодарственное письмо администрации муниципального образования Дубенский поссовет»;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5) награждение ценным подарком;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6) представление для присвоения званий «Лучший муниципальный служащий Дубенского поссовета», «Лучший муниципальный служащий Оренбургской области», «Лучший муниципальный служащий Российской Федерации»;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7) представление для награждения государственными наградами Российской Федерации и Оренбургской области.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3.2. Единовременное денежное вознаграждение может выплачиваться: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1) за выполнение заданий особой важности и сложности;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2) в связи с юбилейными датами (60 лет – мужчина, 55 лет – женщина);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 xml:space="preserve">3) в связи с присвоением званий «Лучший муниципальный служащий </w:t>
            </w:r>
            <w:proofErr w:type="spellStart"/>
            <w:r w:rsidRPr="0099501A">
              <w:rPr>
                <w:sz w:val="28"/>
                <w:szCs w:val="28"/>
              </w:rPr>
              <w:t>Беляевского</w:t>
            </w:r>
            <w:proofErr w:type="spellEnd"/>
            <w:r w:rsidRPr="0099501A">
              <w:rPr>
                <w:sz w:val="28"/>
                <w:szCs w:val="28"/>
              </w:rPr>
              <w:t xml:space="preserve"> района», «Лучший муниципальный служащий Оренбургской области», «Лучший муниципальный служащий Российской Федерации».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Предельный размер единовременного денежного поощрения устанавливается в размере одного должностного оклада муниципального служащего.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 xml:space="preserve"> Предельный размер </w:t>
            </w:r>
            <w:proofErr w:type="gramStart"/>
            <w:r w:rsidRPr="0099501A">
              <w:rPr>
                <w:sz w:val="28"/>
                <w:szCs w:val="28"/>
              </w:rPr>
              <w:t>денежных средств, используемых для награждения ценным подарком устанавливается</w:t>
            </w:r>
            <w:proofErr w:type="gramEnd"/>
            <w:r w:rsidRPr="0099501A">
              <w:rPr>
                <w:sz w:val="28"/>
                <w:szCs w:val="28"/>
              </w:rPr>
              <w:t xml:space="preserve"> в размере, не превышающем должностной оклад муниципального служащего.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3.3. Единовременное денежное поощрение в связи с выходом на пенсию за выслугу лет устанавливается в зависимости от количества полных лет выслуги, имеющихся сверх необходимых 12 лет 6 месяцев для женщин и 15 лет для мужчин: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1) от 1 до 3 календарных лет – 1 должностной оклад;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2) от 3 до 5 календарных лет – 3 должностных оклада;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3) от 5 до 10 календарных лет – 5 должностных оклада;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4) от 10 до 15 календарных лет – 10 должностных окладов;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5) свыше 15 календарных лет – 15 должностных окладов;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 xml:space="preserve">         Данное положение не распространяется на муниципальных служащих, ранее получивших единовременное пособие при увольнении по аналогичным основаниям из Вооруженных Сил, органов внутренних дел, органов прокуратуры, судов, федеральных органов, других организаций.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 xml:space="preserve">          Порядок выплаты единовременного денежного поощрения в связи с </w:t>
            </w:r>
            <w:r w:rsidRPr="0099501A">
              <w:rPr>
                <w:sz w:val="28"/>
                <w:szCs w:val="28"/>
              </w:rPr>
              <w:lastRenderedPageBreak/>
              <w:t>выходом на пенсию за выслугу лет устанавливается постановлением администрации поссовета.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center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 Порядок применения поощрения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4.1. Решение о применении поощрения муниципального служащего в виде объявления благодарности, выплаты единовременного денежного поощрения, награждения ценным подарком принимается руководителем органа местного самоуправления, его структурного подразделения и оформляется соответствующим муниципальным правовым актом (приказ, распоряжение).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4.2. Решение о присвоении звания «Почетный гражданин Дубенского поссовета» и награждении муниципальной наградой «Почетная грамота муниципального образования Дубенский поссовет» принимается Советом депутатов муниципального образования Дубенский поссовет соответствующим правовым актом (решение).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4.3. Решение о награждении муниципальной наградой «Благодарность муниципального образования Дубенский поссовет», «Благодарственное письмо администрации муниципального образования Дубенский поссовет» и «Памятный адрес муниципального образования Дубенский поссовет» принимается главой администрации муниципального образования Дубенский поссовет и оформляется соответствующим муниципальным правовым актом (постановление).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4.4. Ходатайство о поощрении муниципального служащего в виде присвоения  звания «Почетный гражданин Дубенский поссовет» и награждения муниципальной наградой «Почетная грамота муниципального образования Дубенский поссовет» подписывается руководителем органа местного самоуправления на имя главы муниципального образования Дубенский поссовет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4.5.  Ходатайство о поощрении муниципального служащего в виде награждения муниципальной наградой «Благодарность муници</w:t>
            </w:r>
            <w:r w:rsidR="00772901" w:rsidRPr="0099501A">
              <w:rPr>
                <w:sz w:val="28"/>
                <w:szCs w:val="28"/>
              </w:rPr>
              <w:t>пального образования Дубенский пос</w:t>
            </w:r>
            <w:r w:rsidRPr="0099501A">
              <w:rPr>
                <w:sz w:val="28"/>
                <w:szCs w:val="28"/>
              </w:rPr>
              <w:t>совет», «Благодарственное письмо администрации муниципаль</w:t>
            </w:r>
            <w:r w:rsidR="00772901" w:rsidRPr="0099501A">
              <w:rPr>
                <w:sz w:val="28"/>
                <w:szCs w:val="28"/>
              </w:rPr>
              <w:t>ного образования Дубенский пос</w:t>
            </w:r>
            <w:r w:rsidRPr="0099501A">
              <w:rPr>
                <w:sz w:val="28"/>
                <w:szCs w:val="28"/>
              </w:rPr>
              <w:t>совет» и «Памятный адрес</w:t>
            </w:r>
            <w:r w:rsidR="00772901" w:rsidRPr="0099501A">
              <w:rPr>
                <w:sz w:val="28"/>
                <w:szCs w:val="28"/>
              </w:rPr>
              <w:t xml:space="preserve"> муниципального образования Дубенский пос</w:t>
            </w:r>
            <w:r w:rsidRPr="0099501A">
              <w:rPr>
                <w:sz w:val="28"/>
                <w:szCs w:val="28"/>
              </w:rPr>
              <w:t>совет» подписывается руководителем органа местного самоуправления, либо руководителем самостоятельного структурного подразделения органа местного самоуправления на имя главы администрации муници</w:t>
            </w:r>
            <w:r w:rsidR="00772901" w:rsidRPr="0099501A">
              <w:rPr>
                <w:sz w:val="28"/>
                <w:szCs w:val="28"/>
              </w:rPr>
              <w:t>пального образования Дубенский пос</w:t>
            </w:r>
            <w:r w:rsidRPr="0099501A">
              <w:rPr>
                <w:sz w:val="28"/>
                <w:szCs w:val="28"/>
              </w:rPr>
              <w:t>совет.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4.6. Ходатайство о поощрении муниципального служащего структурного подразделения администрации муници</w:t>
            </w:r>
            <w:r w:rsidR="00772901" w:rsidRPr="0099501A">
              <w:rPr>
                <w:sz w:val="28"/>
                <w:szCs w:val="28"/>
              </w:rPr>
              <w:t>пального образования Дубенский пос</w:t>
            </w:r>
            <w:r w:rsidRPr="0099501A">
              <w:rPr>
                <w:sz w:val="28"/>
                <w:szCs w:val="28"/>
              </w:rPr>
              <w:t xml:space="preserve">совет в виде объявления благодарности, выплаты единовременного денежного поощрения, награждения ценным подарком подписывается руководителем структурного подразделения на имя руководителя органа местного самоуправления. В случае поощрения муниципального служащего, являющегося руководителем структурного подразделения органа местного самоуправления, ходатайство подписывается заместителем главы </w:t>
            </w:r>
            <w:r w:rsidRPr="0099501A">
              <w:rPr>
                <w:sz w:val="28"/>
                <w:szCs w:val="28"/>
              </w:rPr>
              <w:lastRenderedPageBreak/>
              <w:t xml:space="preserve">администрации, курирующим это структурное подразделение. 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 xml:space="preserve">В тексте  ходатайства о поощрении должны в обязательном порядке содержаться сведения о том, за какие именно заслуги и достижения поощряется муниципальный служащий, и какой вид поощрения применяется. 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 xml:space="preserve">4.7. За высокий уровень профессионализма муниципальный служащий может быть представлен для присвоения званий «Лучший муниципальный служащий </w:t>
            </w:r>
            <w:proofErr w:type="spellStart"/>
            <w:r w:rsidRPr="0099501A">
              <w:rPr>
                <w:sz w:val="28"/>
                <w:szCs w:val="28"/>
              </w:rPr>
              <w:t>Беляевского</w:t>
            </w:r>
            <w:proofErr w:type="spellEnd"/>
            <w:r w:rsidRPr="0099501A">
              <w:rPr>
                <w:sz w:val="28"/>
                <w:szCs w:val="28"/>
              </w:rPr>
              <w:t xml:space="preserve"> района», «Лучший муниципальный служащий Оренбургской области», «Лучший муниципальный служащий Российской Федерации».  Представление для присвоения звания «Лучший муниципальный служащий» оформляется в соответствии с установленным порядком.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4.8. За особые трудовые заслуги перед обществом и государством муниципальные служащие могут быть представлены к государственным наградам. Представление к государственным наградам Российской Федерации и Оренбургской области оформляется в соответствии с установленным порядком.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4.9. Присвоение звания «Поч</w:t>
            </w:r>
            <w:r w:rsidR="00772901" w:rsidRPr="0099501A">
              <w:rPr>
                <w:sz w:val="28"/>
                <w:szCs w:val="28"/>
              </w:rPr>
              <w:t>етный гражданин Дубенского пос</w:t>
            </w:r>
            <w:r w:rsidRPr="0099501A">
              <w:rPr>
                <w:sz w:val="28"/>
                <w:szCs w:val="28"/>
              </w:rPr>
              <w:t>совет</w:t>
            </w:r>
            <w:r w:rsidR="00772901" w:rsidRPr="0099501A">
              <w:rPr>
                <w:sz w:val="28"/>
                <w:szCs w:val="28"/>
              </w:rPr>
              <w:t>а</w:t>
            </w:r>
            <w:r w:rsidRPr="0099501A">
              <w:rPr>
                <w:sz w:val="28"/>
                <w:szCs w:val="28"/>
              </w:rPr>
              <w:t>», награждение муниципальными наградами «Почетная грамота муници</w:t>
            </w:r>
            <w:r w:rsidR="00772901" w:rsidRPr="0099501A">
              <w:rPr>
                <w:sz w:val="28"/>
                <w:szCs w:val="28"/>
              </w:rPr>
              <w:t>пального образования Дубенский пос</w:t>
            </w:r>
            <w:r w:rsidRPr="0099501A">
              <w:rPr>
                <w:sz w:val="28"/>
                <w:szCs w:val="28"/>
              </w:rPr>
              <w:t>совет», «Благодарность муници</w:t>
            </w:r>
            <w:r w:rsidR="00772901" w:rsidRPr="0099501A">
              <w:rPr>
                <w:sz w:val="28"/>
                <w:szCs w:val="28"/>
              </w:rPr>
              <w:t>пального образования Дубенский пос</w:t>
            </w:r>
            <w:r w:rsidRPr="0099501A">
              <w:rPr>
                <w:sz w:val="28"/>
                <w:szCs w:val="28"/>
              </w:rPr>
              <w:t>совет», «Благодарственное письмо администрации муници</w:t>
            </w:r>
            <w:r w:rsidR="005C23A9" w:rsidRPr="0099501A">
              <w:rPr>
                <w:sz w:val="28"/>
                <w:szCs w:val="28"/>
              </w:rPr>
              <w:t>пального образования Дубенский пос</w:t>
            </w:r>
            <w:r w:rsidRPr="0099501A">
              <w:rPr>
                <w:sz w:val="28"/>
                <w:szCs w:val="28"/>
              </w:rPr>
              <w:t>совет», «Памятный адрес муници</w:t>
            </w:r>
            <w:r w:rsidR="005C23A9" w:rsidRPr="0099501A">
              <w:rPr>
                <w:sz w:val="28"/>
                <w:szCs w:val="28"/>
              </w:rPr>
              <w:t>пального образования Дубенский пос</w:t>
            </w:r>
            <w:r w:rsidRPr="0099501A">
              <w:rPr>
                <w:sz w:val="28"/>
                <w:szCs w:val="28"/>
              </w:rPr>
              <w:t>совет» производятся в соответствии с Положениями, утвержденными решениями Совета депутатов муници</w:t>
            </w:r>
            <w:r w:rsidR="005C23A9" w:rsidRPr="0099501A">
              <w:rPr>
                <w:sz w:val="28"/>
                <w:szCs w:val="28"/>
              </w:rPr>
              <w:t>пального образования Дубенский пос</w:t>
            </w:r>
            <w:r w:rsidRPr="0099501A">
              <w:rPr>
                <w:sz w:val="28"/>
                <w:szCs w:val="28"/>
              </w:rPr>
              <w:t>совет.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 xml:space="preserve">4.10. Допускается одновременное применение нескольких видов поощрений. 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4.11. В течение срока действия дисциплинарного взыскания муниципальный служащий не поощряется. В этом случае мерой поощрения может стать досрочное снятие дисциплинарного взыскания.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4.12. Записи о поощрениях муниципального служащего заносятся в трудовую книжку муниципального служащего.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  <w:r w:rsidRPr="0099501A">
              <w:rPr>
                <w:sz w:val="28"/>
                <w:szCs w:val="28"/>
              </w:rPr>
              <w:t>4.13. Финансирование расходов, связанных с выплатой единовременного денежного поощрения или награждением ценным подарком производится за счет средств бюджета поселения.</w:t>
            </w:r>
          </w:p>
          <w:p w:rsidR="008B2492" w:rsidRPr="0099501A" w:rsidRDefault="008B2492" w:rsidP="0099501A">
            <w:pPr>
              <w:jc w:val="both"/>
              <w:rPr>
                <w:sz w:val="28"/>
                <w:szCs w:val="28"/>
              </w:rPr>
            </w:pPr>
          </w:p>
          <w:p w:rsidR="008B2492" w:rsidRPr="0099501A" w:rsidRDefault="008B2492" w:rsidP="0099501A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8B2492" w:rsidRPr="0099501A" w:rsidRDefault="008B2492" w:rsidP="0099501A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EE6155" w:rsidRPr="0099501A" w:rsidRDefault="00EE6155" w:rsidP="0099501A">
            <w:pPr>
              <w:jc w:val="both"/>
              <w:rPr>
                <w:rFonts w:cs="Arial Unicode MS"/>
                <w:sz w:val="28"/>
                <w:szCs w:val="28"/>
              </w:rPr>
            </w:pPr>
          </w:p>
        </w:tc>
      </w:tr>
    </w:tbl>
    <w:p w:rsidR="00EE6155" w:rsidRPr="0099501A" w:rsidRDefault="00EE6155" w:rsidP="00EE6155">
      <w:pPr>
        <w:jc w:val="center"/>
        <w:rPr>
          <w:sz w:val="28"/>
          <w:szCs w:val="28"/>
        </w:rPr>
      </w:pPr>
    </w:p>
    <w:p w:rsidR="00EE6155" w:rsidRPr="00EE6155" w:rsidRDefault="00EE6155" w:rsidP="00EE6155">
      <w:pPr>
        <w:jc w:val="center"/>
        <w:rPr>
          <w:sz w:val="28"/>
          <w:szCs w:val="28"/>
        </w:rPr>
      </w:pPr>
    </w:p>
    <w:p w:rsidR="00EE6155" w:rsidRDefault="00EE6155"/>
    <w:sectPr w:rsidR="00EE6155" w:rsidSect="008B24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17"/>
    <w:rsid w:val="000B1C79"/>
    <w:rsid w:val="0023279F"/>
    <w:rsid w:val="003A6D5D"/>
    <w:rsid w:val="005C23A9"/>
    <w:rsid w:val="00725D95"/>
    <w:rsid w:val="00767320"/>
    <w:rsid w:val="00772901"/>
    <w:rsid w:val="00830663"/>
    <w:rsid w:val="008B2492"/>
    <w:rsid w:val="008C20A7"/>
    <w:rsid w:val="0099501A"/>
    <w:rsid w:val="009A4E17"/>
    <w:rsid w:val="00A6666B"/>
    <w:rsid w:val="00B32029"/>
    <w:rsid w:val="00E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90B2-D5CD-4DD9-991F-17F21B0B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20</cp:revision>
  <cp:lastPrinted>2015-09-10T10:38:00Z</cp:lastPrinted>
  <dcterms:created xsi:type="dcterms:W3CDTF">2015-09-10T10:00:00Z</dcterms:created>
  <dcterms:modified xsi:type="dcterms:W3CDTF">2015-09-13T11:51:00Z</dcterms:modified>
</cp:coreProperties>
</file>