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76" w:rsidRDefault="00C26E76" w:rsidP="00C26E76">
      <w:pPr>
        <w:pStyle w:val="a3"/>
        <w:spacing w:after="0"/>
        <w:ind w:left="708"/>
        <w:jc w:val="center"/>
        <w:rPr>
          <w:rFonts w:ascii="Times New Roman" w:hAnsi="Times New Roman"/>
          <w:b/>
          <w:sz w:val="28"/>
          <w:szCs w:val="28"/>
          <w:lang w:eastAsia="ru-RU"/>
        </w:rPr>
      </w:pPr>
      <w:r>
        <w:rPr>
          <w:rFonts w:ascii="Times New Roman" w:hAnsi="Times New Roman"/>
          <w:b/>
          <w:sz w:val="28"/>
          <w:szCs w:val="28"/>
          <w:lang w:eastAsia="ru-RU"/>
        </w:rPr>
        <w:t>АДМИНИСТРАЦИЯ</w:t>
      </w:r>
    </w:p>
    <w:p w:rsidR="00C26E76" w:rsidRDefault="00C26E76" w:rsidP="00C26E76">
      <w:pPr>
        <w:pStyle w:val="a3"/>
        <w:spacing w:after="0"/>
        <w:ind w:left="708"/>
        <w:jc w:val="center"/>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w:t>
      </w:r>
    </w:p>
    <w:p w:rsidR="00C26E76" w:rsidRDefault="00C26E76" w:rsidP="00C26E76">
      <w:pPr>
        <w:pStyle w:val="a3"/>
        <w:spacing w:after="0"/>
        <w:ind w:left="708"/>
        <w:jc w:val="center"/>
        <w:rPr>
          <w:rFonts w:ascii="Times New Roman" w:hAnsi="Times New Roman"/>
          <w:b/>
          <w:sz w:val="28"/>
          <w:szCs w:val="28"/>
          <w:lang w:eastAsia="ru-RU"/>
        </w:rPr>
      </w:pPr>
      <w:r>
        <w:rPr>
          <w:rFonts w:ascii="Times New Roman" w:hAnsi="Times New Roman"/>
          <w:b/>
          <w:sz w:val="28"/>
          <w:szCs w:val="28"/>
          <w:lang w:eastAsia="ru-RU"/>
        </w:rPr>
        <w:t>ДУБЕНСКИЙ ПОССОВЕТ</w:t>
      </w:r>
    </w:p>
    <w:p w:rsidR="00C26E76" w:rsidRDefault="00C26E76" w:rsidP="00C26E76">
      <w:pPr>
        <w:pStyle w:val="a3"/>
        <w:spacing w:after="0"/>
        <w:ind w:left="708"/>
        <w:jc w:val="center"/>
        <w:rPr>
          <w:rFonts w:ascii="Times New Roman" w:hAnsi="Times New Roman"/>
          <w:b/>
          <w:sz w:val="28"/>
          <w:szCs w:val="28"/>
          <w:lang w:eastAsia="ru-RU"/>
        </w:rPr>
      </w:pPr>
      <w:r>
        <w:rPr>
          <w:rFonts w:ascii="Times New Roman" w:hAnsi="Times New Roman"/>
          <w:b/>
          <w:sz w:val="28"/>
          <w:szCs w:val="28"/>
          <w:lang w:eastAsia="ru-RU"/>
        </w:rPr>
        <w:t>БЕЛЯЕВСКОГО РАЙОНА ОРЕНБУРГСКОЙ ОБЛАСТИ</w:t>
      </w:r>
    </w:p>
    <w:p w:rsidR="00C26E76" w:rsidRDefault="00C26E76" w:rsidP="00C26E76">
      <w:pPr>
        <w:ind w:left="708"/>
        <w:jc w:val="center"/>
        <w:rPr>
          <w:rFonts w:ascii="Times New Roman" w:hAnsi="Times New Roman"/>
          <w:b/>
          <w:sz w:val="28"/>
          <w:szCs w:val="28"/>
          <w:lang w:eastAsia="ru-RU"/>
        </w:rPr>
      </w:pPr>
    </w:p>
    <w:p w:rsidR="00C26E76" w:rsidRDefault="00C26E76" w:rsidP="00C26E76">
      <w:pPr>
        <w:ind w:left="708"/>
        <w:jc w:val="center"/>
        <w:outlineLvl w:val="0"/>
        <w:rPr>
          <w:rFonts w:ascii="Times New Roman" w:hAnsi="Times New Roman"/>
          <w:b/>
          <w:sz w:val="28"/>
          <w:szCs w:val="28"/>
        </w:rPr>
      </w:pPr>
      <w:r>
        <w:rPr>
          <w:rFonts w:ascii="Times New Roman" w:hAnsi="Times New Roman"/>
          <w:b/>
          <w:sz w:val="28"/>
          <w:szCs w:val="28"/>
        </w:rPr>
        <w:t>ПОСТАНОВЛЕНИЕ</w:t>
      </w:r>
    </w:p>
    <w:p w:rsidR="00C26E76" w:rsidRDefault="00C26E76" w:rsidP="00C26E76">
      <w:pPr>
        <w:ind w:left="708"/>
        <w:jc w:val="center"/>
        <w:rPr>
          <w:rFonts w:ascii="Times New Roman" w:hAnsi="Times New Roman"/>
          <w:b/>
          <w:sz w:val="28"/>
          <w:szCs w:val="28"/>
        </w:rPr>
      </w:pPr>
    </w:p>
    <w:p w:rsidR="00C26E76" w:rsidRDefault="00C26E76" w:rsidP="00C26E76">
      <w:pPr>
        <w:rPr>
          <w:rFonts w:ascii="Times New Roman" w:hAnsi="Times New Roman"/>
          <w:sz w:val="28"/>
          <w:szCs w:val="28"/>
        </w:rPr>
      </w:pPr>
      <w:r>
        <w:rPr>
          <w:rFonts w:ascii="Times New Roman" w:hAnsi="Times New Roman"/>
          <w:sz w:val="28"/>
          <w:szCs w:val="28"/>
        </w:rPr>
        <w:t xml:space="preserve">20.12.2019                                      п. Дубенский       </w:t>
      </w:r>
      <w:r w:rsidR="000A63F3">
        <w:rPr>
          <w:rFonts w:ascii="Times New Roman" w:hAnsi="Times New Roman"/>
          <w:sz w:val="28"/>
          <w:szCs w:val="28"/>
        </w:rPr>
        <w:t xml:space="preserve">                           №  46</w:t>
      </w:r>
      <w:r>
        <w:rPr>
          <w:rFonts w:ascii="Times New Roman" w:hAnsi="Times New Roman"/>
          <w:sz w:val="28"/>
          <w:szCs w:val="28"/>
        </w:rPr>
        <w:t xml:space="preserve"> - </w:t>
      </w:r>
      <w:proofErr w:type="gramStart"/>
      <w:r>
        <w:rPr>
          <w:rFonts w:ascii="Times New Roman" w:hAnsi="Times New Roman"/>
          <w:sz w:val="28"/>
          <w:szCs w:val="28"/>
        </w:rPr>
        <w:t>п</w:t>
      </w:r>
      <w:proofErr w:type="gramEnd"/>
    </w:p>
    <w:p w:rsidR="00C26E76" w:rsidRDefault="00C26E76" w:rsidP="00C26E76">
      <w:pPr>
        <w:rPr>
          <w:rFonts w:ascii="Times New Roman" w:hAnsi="Times New Roman"/>
          <w:sz w:val="28"/>
          <w:szCs w:val="28"/>
        </w:rPr>
      </w:pPr>
    </w:p>
    <w:p w:rsidR="00C26E76" w:rsidRPr="00C26E76" w:rsidRDefault="00C26E76" w:rsidP="00C26E76">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bCs/>
          <w:sz w:val="28"/>
          <w:szCs w:val="28"/>
          <w:lang w:eastAsia="ru-RU"/>
        </w:rPr>
        <w:t>Об утверждении Порядка формирования перечня</w:t>
      </w:r>
    </w:p>
    <w:p w:rsidR="00C26E76" w:rsidRPr="00C26E76" w:rsidRDefault="00C26E76" w:rsidP="00C26E76">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bCs/>
          <w:sz w:val="28"/>
          <w:szCs w:val="28"/>
          <w:lang w:eastAsia="ru-RU"/>
        </w:rPr>
        <w:t xml:space="preserve">налоговых расходов муниципального образования и оценки налоговых расходов муниципального образования </w:t>
      </w:r>
      <w:r>
        <w:rPr>
          <w:rFonts w:ascii="Times New Roman" w:eastAsia="Times New Roman" w:hAnsi="Times New Roman"/>
          <w:bCs/>
          <w:sz w:val="28"/>
          <w:szCs w:val="28"/>
          <w:lang w:eastAsia="ru-RU"/>
        </w:rPr>
        <w:t>Дубенский поссовет</w:t>
      </w:r>
      <w:r w:rsidRPr="00C26E76">
        <w:rPr>
          <w:rFonts w:ascii="Times New Roman" w:eastAsia="Times New Roman" w:hAnsi="Times New Roman"/>
          <w:bCs/>
          <w:sz w:val="28"/>
          <w:szCs w:val="28"/>
          <w:lang w:eastAsia="ru-RU"/>
        </w:rPr>
        <w:t xml:space="preserve"> Беляевского района Оренбургской области</w:t>
      </w:r>
      <w:bookmarkStart w:id="0" w:name="_GoBack"/>
      <w:bookmarkEnd w:id="0"/>
    </w:p>
    <w:p w:rsidR="00C26E76" w:rsidRPr="00C26E76" w:rsidRDefault="00C26E76" w:rsidP="00C26E76">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w:t>
      </w:r>
    </w:p>
    <w:p w:rsidR="00C26E76" w:rsidRPr="00C26E76" w:rsidRDefault="00C26E76" w:rsidP="00C26E76">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w:t>
      </w:r>
    </w:p>
    <w:p w:rsidR="00C26E76" w:rsidRPr="00C26E76" w:rsidRDefault="00C26E76" w:rsidP="00C26E76">
      <w:pPr>
        <w:shd w:val="clear" w:color="auto" w:fill="FFFFFF"/>
        <w:spacing w:after="0" w:line="240" w:lineRule="auto"/>
        <w:jc w:val="both"/>
        <w:outlineLvl w:val="3"/>
        <w:rPr>
          <w:rFonts w:ascii="Times New Roman" w:eastAsia="Times New Roman" w:hAnsi="Times New Roman"/>
          <w:bCs/>
          <w:sz w:val="28"/>
          <w:szCs w:val="28"/>
          <w:lang w:eastAsia="ru-RU"/>
        </w:rPr>
      </w:pPr>
      <w:r w:rsidRPr="00C26E76">
        <w:rPr>
          <w:rFonts w:ascii="Times New Roman" w:eastAsia="Times New Roman" w:hAnsi="Times New Roman"/>
          <w:sz w:val="28"/>
          <w:szCs w:val="28"/>
          <w:lang w:eastAsia="ru-RU"/>
        </w:rPr>
        <w:t xml:space="preserve">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w:t>
      </w:r>
      <w:r>
        <w:rPr>
          <w:rFonts w:ascii="Times New Roman" w:eastAsia="Times New Roman" w:hAnsi="Times New Roman"/>
          <w:bCs/>
          <w:sz w:val="28"/>
          <w:szCs w:val="28"/>
          <w:lang w:eastAsia="ru-RU"/>
        </w:rPr>
        <w:t>Дубенский поссовет</w:t>
      </w:r>
      <w:r w:rsidRPr="00C26E76">
        <w:rPr>
          <w:rFonts w:ascii="Times New Roman" w:eastAsia="Times New Roman" w:hAnsi="Times New Roman"/>
          <w:bCs/>
          <w:sz w:val="28"/>
          <w:szCs w:val="28"/>
          <w:lang w:eastAsia="ru-RU"/>
        </w:rPr>
        <w:t xml:space="preserve"> Беляевского района Оренбургской области</w:t>
      </w:r>
      <w:r w:rsidRPr="00C26E76">
        <w:rPr>
          <w:rFonts w:ascii="Times New Roman" w:eastAsia="Times New Roman" w:hAnsi="Times New Roman"/>
          <w:sz w:val="28"/>
          <w:szCs w:val="28"/>
          <w:lang w:eastAsia="ru-RU"/>
        </w:rPr>
        <w:t>:</w:t>
      </w:r>
    </w:p>
    <w:p w:rsidR="00C26E76" w:rsidRPr="00C26E76" w:rsidRDefault="00C26E76" w:rsidP="00C26E76">
      <w:pPr>
        <w:shd w:val="clear" w:color="auto" w:fill="FFFFFF"/>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      1. Утвердить Порядок формирования перечня налоговых расходов муниципального образования и оценки налоговых расходов муниципального образования </w:t>
      </w:r>
      <w:r>
        <w:rPr>
          <w:rFonts w:ascii="Times New Roman" w:eastAsia="Times New Roman" w:hAnsi="Times New Roman"/>
          <w:bCs/>
          <w:sz w:val="28"/>
          <w:szCs w:val="28"/>
          <w:lang w:eastAsia="ru-RU"/>
        </w:rPr>
        <w:t>Дубенский поссовет</w:t>
      </w:r>
      <w:r w:rsidRPr="00C26E76">
        <w:rPr>
          <w:rFonts w:ascii="Times New Roman" w:eastAsia="Times New Roman" w:hAnsi="Times New Roman"/>
          <w:bCs/>
          <w:sz w:val="28"/>
          <w:szCs w:val="28"/>
          <w:lang w:eastAsia="ru-RU"/>
        </w:rPr>
        <w:t xml:space="preserve"> Беляевского района Оренбургской области</w:t>
      </w:r>
      <w:r w:rsidRPr="00C26E76">
        <w:rPr>
          <w:rFonts w:ascii="Times New Roman" w:eastAsia="Times New Roman" w:hAnsi="Times New Roman"/>
          <w:sz w:val="28"/>
          <w:szCs w:val="28"/>
          <w:lang w:eastAsia="ru-RU"/>
        </w:rPr>
        <w:t xml:space="preserve"> согласно приложению.</w:t>
      </w:r>
    </w:p>
    <w:p w:rsidR="00C26E76" w:rsidRDefault="00C26E76" w:rsidP="000A5693">
      <w:pPr>
        <w:autoSpaceDE w:val="0"/>
        <w:autoSpaceDN w:val="0"/>
        <w:adjustRightInd w:val="0"/>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      2. Постановление подлежит размещению на официальном сайте муниципального образования </w:t>
      </w:r>
      <w:r>
        <w:rPr>
          <w:rFonts w:ascii="Times New Roman" w:eastAsia="Times New Roman" w:hAnsi="Times New Roman"/>
          <w:sz w:val="28"/>
          <w:szCs w:val="24"/>
          <w:lang w:eastAsia="ru-RU"/>
        </w:rPr>
        <w:t>Дубенский поссовет</w:t>
      </w:r>
      <w:r w:rsidRPr="00C26E76">
        <w:rPr>
          <w:rFonts w:ascii="Times New Roman" w:eastAsia="Times New Roman" w:hAnsi="Times New Roman"/>
          <w:sz w:val="28"/>
          <w:szCs w:val="28"/>
          <w:lang w:eastAsia="ru-RU"/>
        </w:rPr>
        <w:t xml:space="preserve"> в сети «Интернет».</w:t>
      </w:r>
    </w:p>
    <w:p w:rsidR="00C26E76" w:rsidRPr="00C26E76" w:rsidRDefault="00C26E76" w:rsidP="000A5693">
      <w:pPr>
        <w:shd w:val="clear" w:color="auto" w:fill="FFFFFF"/>
        <w:spacing w:after="0" w:line="240" w:lineRule="auto"/>
        <w:jc w:val="both"/>
        <w:rPr>
          <w:rFonts w:ascii="Times New Roman" w:eastAsia="Times New Roman" w:hAnsi="Times New Roman"/>
          <w:sz w:val="28"/>
          <w:szCs w:val="28"/>
          <w:lang w:eastAsia="ru-RU"/>
        </w:rPr>
      </w:pPr>
      <w:r w:rsidRPr="00C26E76">
        <w:rPr>
          <w:rFonts w:ascii="Times New Roman" w:hAnsi="Times New Roman"/>
          <w:sz w:val="28"/>
          <w:szCs w:val="28"/>
        </w:rPr>
        <w:t xml:space="preserve">     3.   Постановление № 57-п от 03.11.2017 «</w:t>
      </w:r>
      <w:r w:rsidRPr="00C26E76">
        <w:rPr>
          <w:rFonts w:ascii="Times New Roman" w:eastAsia="Times New Roman" w:hAnsi="Times New Roman"/>
          <w:bCs/>
          <w:sz w:val="28"/>
          <w:szCs w:val="28"/>
          <w:lang w:eastAsia="ru-RU"/>
        </w:rPr>
        <w:t xml:space="preserve">Об утверждении </w:t>
      </w:r>
      <w:proofErr w:type="gramStart"/>
      <w:r w:rsidRPr="00C26E76">
        <w:rPr>
          <w:rFonts w:ascii="Times New Roman" w:eastAsia="Times New Roman" w:hAnsi="Times New Roman"/>
          <w:bCs/>
          <w:sz w:val="28"/>
          <w:szCs w:val="28"/>
          <w:lang w:eastAsia="ru-RU"/>
        </w:rPr>
        <w:t>Порядка формирования перечня</w:t>
      </w:r>
      <w:r>
        <w:rPr>
          <w:rFonts w:ascii="Times New Roman" w:eastAsia="Times New Roman" w:hAnsi="Times New Roman"/>
          <w:sz w:val="28"/>
          <w:szCs w:val="28"/>
          <w:lang w:eastAsia="ru-RU"/>
        </w:rPr>
        <w:t xml:space="preserve"> </w:t>
      </w:r>
      <w:r w:rsidRPr="00C26E76">
        <w:rPr>
          <w:rFonts w:ascii="Times New Roman" w:eastAsia="Times New Roman" w:hAnsi="Times New Roman"/>
          <w:bCs/>
          <w:sz w:val="28"/>
          <w:szCs w:val="28"/>
          <w:lang w:eastAsia="ru-RU"/>
        </w:rPr>
        <w:t>налоговых расходов муниципального образования</w:t>
      </w:r>
      <w:proofErr w:type="gramEnd"/>
      <w:r w:rsidRPr="00C26E76">
        <w:rPr>
          <w:rFonts w:ascii="Times New Roman" w:eastAsia="Times New Roman" w:hAnsi="Times New Roman"/>
          <w:bCs/>
          <w:sz w:val="28"/>
          <w:szCs w:val="28"/>
          <w:lang w:eastAsia="ru-RU"/>
        </w:rPr>
        <w:t xml:space="preserve"> и оценки налоговых расходов муниципального образования </w:t>
      </w:r>
      <w:r>
        <w:rPr>
          <w:rFonts w:ascii="Times New Roman" w:eastAsia="Times New Roman" w:hAnsi="Times New Roman"/>
          <w:bCs/>
          <w:sz w:val="28"/>
          <w:szCs w:val="28"/>
          <w:lang w:eastAsia="ru-RU"/>
        </w:rPr>
        <w:t>Дубенский поссовет</w:t>
      </w:r>
      <w:r w:rsidRPr="00C26E76">
        <w:rPr>
          <w:rFonts w:ascii="Times New Roman" w:eastAsia="Times New Roman" w:hAnsi="Times New Roman"/>
          <w:bCs/>
          <w:sz w:val="28"/>
          <w:szCs w:val="28"/>
          <w:lang w:eastAsia="ru-RU"/>
        </w:rPr>
        <w:t xml:space="preserve"> Беляевского района Оренбургской области</w:t>
      </w:r>
      <w:r>
        <w:rPr>
          <w:rFonts w:ascii="Times New Roman" w:eastAsia="Times New Roman" w:hAnsi="Times New Roman"/>
          <w:bCs/>
          <w:sz w:val="28"/>
          <w:szCs w:val="28"/>
          <w:lang w:eastAsia="ru-RU"/>
        </w:rPr>
        <w:t>»</w:t>
      </w:r>
      <w:r>
        <w:t xml:space="preserve"> </w:t>
      </w:r>
      <w:r w:rsidRPr="00C26E76">
        <w:rPr>
          <w:rFonts w:ascii="Times New Roman" w:hAnsi="Times New Roman"/>
          <w:sz w:val="28"/>
          <w:szCs w:val="28"/>
        </w:rPr>
        <w:t>считать утратившим силу</w:t>
      </w:r>
      <w:r>
        <w:t>.</w:t>
      </w:r>
    </w:p>
    <w:p w:rsidR="00C26E76" w:rsidRPr="00C26E76" w:rsidRDefault="00C26E76" w:rsidP="000A5693">
      <w:pPr>
        <w:autoSpaceDE w:val="0"/>
        <w:autoSpaceDN w:val="0"/>
        <w:adjustRightInd w:val="0"/>
        <w:spacing w:after="0" w:line="240" w:lineRule="auto"/>
        <w:jc w:val="both"/>
        <w:rPr>
          <w:rFonts w:ascii="Times New Roman" w:eastAsia="Times New Roman" w:hAnsi="Times New Roman"/>
          <w:sz w:val="28"/>
          <w:szCs w:val="28"/>
          <w:lang w:eastAsia="ru-RU"/>
        </w:rPr>
      </w:pPr>
    </w:p>
    <w:p w:rsidR="00C26E76" w:rsidRPr="00C26E76" w:rsidRDefault="00C26E76" w:rsidP="000A5693">
      <w:pPr>
        <w:tabs>
          <w:tab w:val="left" w:pos="54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Pr="00C26E76">
        <w:rPr>
          <w:rFonts w:ascii="Times New Roman" w:eastAsia="Times New Roman" w:hAnsi="Times New Roman"/>
          <w:color w:val="000000"/>
          <w:sz w:val="28"/>
          <w:szCs w:val="28"/>
          <w:lang w:eastAsia="ru-RU"/>
        </w:rPr>
        <w:t xml:space="preserve">. </w:t>
      </w:r>
      <w:proofErr w:type="gramStart"/>
      <w:r w:rsidRPr="00C26E76">
        <w:rPr>
          <w:rFonts w:ascii="Times New Roman" w:eastAsia="Times New Roman" w:hAnsi="Times New Roman"/>
          <w:color w:val="000000"/>
          <w:sz w:val="28"/>
          <w:szCs w:val="28"/>
          <w:lang w:eastAsia="ru-RU"/>
        </w:rPr>
        <w:t>Контроль за</w:t>
      </w:r>
      <w:proofErr w:type="gramEnd"/>
      <w:r w:rsidRPr="00C26E76">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C26E76" w:rsidRPr="00C26E76" w:rsidRDefault="00C26E76" w:rsidP="000A5693">
      <w:pPr>
        <w:spacing w:line="259" w:lineRule="auto"/>
        <w:jc w:val="both"/>
        <w:rPr>
          <w:rFonts w:ascii="Times New Roman" w:hAnsi="Times New Roman"/>
          <w:sz w:val="28"/>
          <w:szCs w:val="28"/>
          <w:shd w:val="clear" w:color="auto" w:fill="FFFFFF"/>
        </w:rPr>
      </w:pPr>
      <w:r w:rsidRPr="00C26E7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8"/>
          <w:szCs w:val="28"/>
          <w:lang w:eastAsia="ru-RU"/>
        </w:rPr>
        <w:t>5</w:t>
      </w:r>
      <w:r w:rsidRPr="00C26E76">
        <w:rPr>
          <w:rFonts w:ascii="Times New Roman" w:eastAsia="Times New Roman" w:hAnsi="Times New Roman"/>
          <w:color w:val="000000"/>
          <w:sz w:val="24"/>
          <w:szCs w:val="24"/>
          <w:lang w:eastAsia="ru-RU"/>
        </w:rPr>
        <w:t xml:space="preserve">. </w:t>
      </w:r>
      <w:r w:rsidRPr="00C26E76">
        <w:rPr>
          <w:rFonts w:ascii="Times New Roman" w:hAnsi="Times New Roman"/>
          <w:sz w:val="28"/>
          <w:szCs w:val="28"/>
          <w:shd w:val="clear" w:color="auto" w:fill="FFFFFF"/>
        </w:rPr>
        <w:t>Настоящее постановление вступает в силу с момента обнародования и распространяется на правоотношения, возникшие с 1 января 2019 года.</w:t>
      </w:r>
    </w:p>
    <w:p w:rsidR="00C26E76" w:rsidRPr="00C26E76" w:rsidRDefault="00C26E76" w:rsidP="000A5693">
      <w:pPr>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поссовета                                                                        В.И.</w:t>
      </w:r>
      <w:r w:rsidR="000A56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Сидоров</w:t>
      </w:r>
    </w:p>
    <w:tbl>
      <w:tblPr>
        <w:tblW w:w="0" w:type="auto"/>
        <w:tblLook w:val="01E0" w:firstRow="1" w:lastRow="1" w:firstColumn="1" w:lastColumn="1" w:noHBand="0" w:noVBand="0"/>
      </w:tblPr>
      <w:tblGrid>
        <w:gridCol w:w="1603"/>
        <w:gridCol w:w="7968"/>
      </w:tblGrid>
      <w:tr w:rsidR="00C26E76" w:rsidRPr="00C26E76" w:rsidTr="00C06A63">
        <w:tc>
          <w:tcPr>
            <w:tcW w:w="1608" w:type="dxa"/>
          </w:tcPr>
          <w:p w:rsidR="00C26E76" w:rsidRPr="00C26E76" w:rsidRDefault="00C26E76" w:rsidP="00C26E76">
            <w:pPr>
              <w:autoSpaceDE w:val="0"/>
              <w:autoSpaceDN w:val="0"/>
              <w:spacing w:after="0" w:line="240" w:lineRule="auto"/>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Разослано:   </w:t>
            </w:r>
          </w:p>
          <w:p w:rsidR="00C26E76" w:rsidRPr="00C26E76" w:rsidRDefault="00C26E76" w:rsidP="00C26E76">
            <w:pPr>
              <w:autoSpaceDE w:val="0"/>
              <w:autoSpaceDN w:val="0"/>
              <w:spacing w:after="0" w:line="240" w:lineRule="auto"/>
              <w:rPr>
                <w:rFonts w:ascii="Times New Roman" w:eastAsia="Times New Roman" w:hAnsi="Times New Roman"/>
                <w:sz w:val="28"/>
                <w:szCs w:val="28"/>
                <w:lang w:eastAsia="ru-RU"/>
              </w:rPr>
            </w:pPr>
          </w:p>
        </w:tc>
        <w:tc>
          <w:tcPr>
            <w:tcW w:w="8246" w:type="dxa"/>
            <w:hideMark/>
          </w:tcPr>
          <w:p w:rsidR="00C26E76" w:rsidRPr="00C26E76" w:rsidRDefault="00C26E76" w:rsidP="00C26E76">
            <w:pPr>
              <w:autoSpaceDE w:val="0"/>
              <w:autoSpaceDN w:val="0"/>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администрации Беляевского района, прокурору, финотдел,                     в дело.</w:t>
            </w:r>
          </w:p>
        </w:tc>
      </w:tr>
    </w:tbl>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ПОРЯДОК</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формирования перечня налоговых расходов муниципального</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 xml:space="preserve">образования и оценки налоговых расходов муниципального образования </w:t>
      </w:r>
      <w:r>
        <w:rPr>
          <w:rFonts w:ascii="Times New Roman" w:eastAsia="Times New Roman" w:hAnsi="Times New Roman"/>
          <w:b/>
          <w:bCs/>
          <w:sz w:val="26"/>
          <w:szCs w:val="26"/>
          <w:lang w:eastAsia="ru-RU"/>
        </w:rPr>
        <w:t>Дубенский поссовет</w:t>
      </w:r>
      <w:r w:rsidRPr="00C26E76">
        <w:rPr>
          <w:rFonts w:ascii="Times New Roman" w:eastAsia="Times New Roman" w:hAnsi="Times New Roman"/>
          <w:b/>
          <w:bCs/>
          <w:sz w:val="26"/>
          <w:szCs w:val="26"/>
          <w:lang w:eastAsia="ru-RU"/>
        </w:rPr>
        <w:t xml:space="preserve"> Беляевского района Оренбургской области</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Ӏ. Общие положения</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 xml:space="preserve">1.Порядок формирования перечня налоговых расходов муниципального образования и оценки налоговых расходов муниципального образования </w:t>
      </w:r>
      <w:r>
        <w:rPr>
          <w:rFonts w:ascii="Times New Roman" w:eastAsia="Times New Roman" w:hAnsi="Times New Roman"/>
          <w:bCs/>
          <w:sz w:val="26"/>
          <w:szCs w:val="26"/>
          <w:lang w:eastAsia="ru-RU"/>
        </w:rPr>
        <w:t>Дубенский поссовет</w:t>
      </w:r>
      <w:r w:rsidRPr="00C26E76">
        <w:rPr>
          <w:rFonts w:ascii="Times New Roman" w:eastAsia="Times New Roman" w:hAnsi="Times New Roman"/>
          <w:bCs/>
          <w:sz w:val="26"/>
          <w:szCs w:val="26"/>
          <w:lang w:eastAsia="ru-RU"/>
        </w:rPr>
        <w:t xml:space="preserve"> Беляевского района Оренбургской области</w:t>
      </w:r>
      <w:r w:rsidRPr="00C26E76">
        <w:rPr>
          <w:rFonts w:ascii="Times New Roman" w:eastAsia="Times New Roman" w:hAnsi="Times New Roman"/>
          <w:color w:val="212121"/>
          <w:sz w:val="26"/>
          <w:szCs w:val="26"/>
          <w:lang w:eastAsia="ru-RU"/>
        </w:rPr>
        <w:t xml:space="preserve"> (далее – Порядок) разработан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C26E76">
        <w:rPr>
          <w:rFonts w:ascii="Times New Roman" w:eastAsia="Times New Roman" w:hAnsi="Times New Roman"/>
          <w:b/>
          <w:bCs/>
          <w:color w:val="212121"/>
          <w:sz w:val="26"/>
          <w:szCs w:val="26"/>
          <w:lang w:eastAsia="ru-RU"/>
        </w:rPr>
        <w:t> </w:t>
      </w:r>
      <w:r w:rsidRPr="00C26E76">
        <w:rPr>
          <w:rFonts w:ascii="Times New Roman" w:eastAsia="Times New Roman" w:hAnsi="Times New Roman"/>
          <w:color w:val="212121"/>
          <w:sz w:val="26"/>
          <w:szCs w:val="26"/>
          <w:lang w:eastAsia="ru-RU"/>
        </w:rPr>
        <w:t> и определяет порядок формирования перечня налоговых</w:t>
      </w:r>
      <w:proofErr w:type="gramEnd"/>
      <w:r w:rsidRPr="00C26E76">
        <w:rPr>
          <w:rFonts w:ascii="Times New Roman" w:eastAsia="Times New Roman" w:hAnsi="Times New Roman"/>
          <w:color w:val="212121"/>
          <w:sz w:val="26"/>
          <w:szCs w:val="26"/>
          <w:lang w:eastAsia="ru-RU"/>
        </w:rPr>
        <w:t xml:space="preserve"> расходов муниципального образования и оценки налоговых расходов муниципального образования </w:t>
      </w:r>
      <w:r>
        <w:rPr>
          <w:rFonts w:ascii="Times New Roman" w:eastAsia="Times New Roman" w:hAnsi="Times New Roman"/>
          <w:bCs/>
          <w:sz w:val="26"/>
          <w:szCs w:val="26"/>
          <w:lang w:eastAsia="ru-RU"/>
        </w:rPr>
        <w:t>Дубенский поссовет</w:t>
      </w:r>
      <w:r w:rsidRPr="00C26E76">
        <w:rPr>
          <w:rFonts w:ascii="Times New Roman" w:eastAsia="Times New Roman" w:hAnsi="Times New Roman"/>
          <w:bCs/>
          <w:sz w:val="26"/>
          <w:szCs w:val="26"/>
          <w:lang w:eastAsia="ru-RU"/>
        </w:rPr>
        <w:t xml:space="preserve"> Беляевского района Оренбургской области</w:t>
      </w:r>
      <w:r w:rsidRPr="00C26E76">
        <w:rPr>
          <w:rFonts w:ascii="Times New Roman" w:eastAsia="Times New Roman" w:hAnsi="Times New Roman"/>
          <w:color w:val="212121"/>
          <w:sz w:val="26"/>
          <w:szCs w:val="26"/>
          <w:lang w:eastAsia="ru-RU"/>
        </w:rPr>
        <w:t xml:space="preserve"> (далее – муниципальное образование).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xml:space="preserve">         2.Понятия, используемые в настоящем Порядке, означают следующее: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«куратор налогового расхода» – орган местного самоуправления, ответственный в соответствии с полномочиями, установленными муниципальными правовыми актами муниципального образования,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наименования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налоговыми льготами, предоставленными плательщикам, а также по оценке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«оценка объемов налоговых расходов муниципального образования» – определение объемов выпадающих доходов бюджета муниципального образования, обусловленных льготами, предоставленными плательщикам;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а также о кураторах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«плательщики» – плательщики налогов, сборов;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обеспечение социальной защиты (поддержки) населения;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а также иные характеристики, предусмотренные приложением к настоящему Порядку;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приложением к настоящему Порядку. </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3. В целях оценки налоговых расходов муниципального образования администрация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формирует перечень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в) осуществляет обобщение </w:t>
      </w:r>
      <w:proofErr w:type="gramStart"/>
      <w:r w:rsidRPr="00C26E76">
        <w:rPr>
          <w:rFonts w:ascii="Times New Roman" w:eastAsia="Times New Roman" w:hAnsi="Times New Roman"/>
          <w:color w:val="212121"/>
          <w:sz w:val="26"/>
          <w:szCs w:val="26"/>
          <w:lang w:eastAsia="ru-RU"/>
        </w:rPr>
        <w:t>результатов оценки эффективности налоговых расходов муниципального образования</w:t>
      </w:r>
      <w:proofErr w:type="gramEnd"/>
      <w:r w:rsidRPr="00C26E76">
        <w:rPr>
          <w:rFonts w:ascii="Times New Roman" w:eastAsia="Times New Roman" w:hAnsi="Times New Roman"/>
          <w:color w:val="212121"/>
          <w:sz w:val="26"/>
          <w:szCs w:val="26"/>
          <w:lang w:eastAsia="ru-RU"/>
        </w:rPr>
        <w:t>;</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4. В целях оценки налоговых расходов муниципального образования главные администраторы доходов бюджета муниципального образования представляют в администрацию муниципального образования информацию о фискальных характеристиках налоговых расходов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5. В целях оценки налоговых расходов муниципального образования кураторы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формируют паспорта налоговых расходов муниципального образования, содержащие информацию, предусмотренную </w:t>
      </w:r>
      <w:hyperlink r:id="rId5" w:anchor="Par133" w:tooltip="ПЕРЕЧЕНЬ" w:history="1">
        <w:r w:rsidRPr="00C26E76">
          <w:rPr>
            <w:rFonts w:ascii="Times New Roman" w:eastAsia="Times New Roman" w:hAnsi="Times New Roman"/>
            <w:color w:val="0263B2"/>
            <w:sz w:val="26"/>
            <w:szCs w:val="26"/>
            <w:u w:val="single"/>
            <w:lang w:eastAsia="ru-RU"/>
          </w:rPr>
          <w:t>приложением</w:t>
        </w:r>
      </w:hyperlink>
      <w:r w:rsidRPr="00C26E76">
        <w:rPr>
          <w:rFonts w:ascii="Times New Roman" w:eastAsia="Times New Roman" w:hAnsi="Times New Roman"/>
          <w:color w:val="212121"/>
          <w:sz w:val="26"/>
          <w:szCs w:val="26"/>
          <w:lang w:eastAsia="ru-RU"/>
        </w:rPr>
        <w:t> к настоящим Правилам;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осуществляют оценку эффективности налоговых расходов муниципального образования.</w:t>
      </w:r>
    </w:p>
    <w:p w:rsidR="00C26E76" w:rsidRPr="00C26E76" w:rsidRDefault="00C26E76" w:rsidP="00C26E76">
      <w:pPr>
        <w:shd w:val="clear" w:color="auto" w:fill="FFFFFF"/>
        <w:spacing w:after="0" w:line="240" w:lineRule="auto"/>
        <w:jc w:val="center"/>
        <w:rPr>
          <w:rFonts w:ascii="Times New Roman" w:eastAsia="Times New Roman" w:hAnsi="Times New Roman"/>
          <w:b/>
          <w:bCs/>
          <w:color w:val="212121"/>
          <w:sz w:val="26"/>
          <w:szCs w:val="26"/>
          <w:lang w:eastAsia="ru-RU"/>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 xml:space="preserve">Ӏ </w:t>
      </w:r>
      <w:proofErr w:type="spellStart"/>
      <w:r w:rsidRPr="00C26E76">
        <w:rPr>
          <w:rFonts w:ascii="Times New Roman" w:eastAsia="Times New Roman" w:hAnsi="Times New Roman"/>
          <w:b/>
          <w:bCs/>
          <w:color w:val="212121"/>
          <w:sz w:val="26"/>
          <w:szCs w:val="26"/>
          <w:lang w:eastAsia="ru-RU"/>
        </w:rPr>
        <w:t>Ӏ</w:t>
      </w:r>
      <w:proofErr w:type="spellEnd"/>
      <w:r w:rsidRPr="00C26E76">
        <w:rPr>
          <w:rFonts w:ascii="Times New Roman" w:eastAsia="Times New Roman" w:hAnsi="Times New Roman"/>
          <w:b/>
          <w:bCs/>
          <w:color w:val="212121"/>
          <w:sz w:val="26"/>
          <w:szCs w:val="26"/>
          <w:lang w:eastAsia="ru-RU"/>
        </w:rPr>
        <w:t>. Формирование перечня налоговых расходов</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1"/>
          <w:szCs w:val="21"/>
          <w:lang w:eastAsia="ru-RU"/>
        </w:rPr>
        <w:t> </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bookmarkStart w:id="1" w:name="Par62"/>
      <w:bookmarkEnd w:id="1"/>
      <w:r w:rsidRPr="00C26E76">
        <w:rPr>
          <w:rFonts w:ascii="Times New Roman" w:eastAsia="Times New Roman" w:hAnsi="Times New Roman"/>
          <w:color w:val="212121"/>
          <w:sz w:val="26"/>
          <w:szCs w:val="26"/>
          <w:lang w:eastAsia="ru-RU"/>
        </w:rPr>
        <w:t xml:space="preserve">        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администрацией муниципального образования – до 25 марта и направляется на согласование ответственным исполнителям муниципальных программ.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bookmarkStart w:id="2" w:name="Par63"/>
      <w:bookmarkEnd w:id="2"/>
      <w:r w:rsidRPr="00C26E76">
        <w:rPr>
          <w:rFonts w:ascii="Times New Roman" w:eastAsia="Times New Roman" w:hAnsi="Times New Roman"/>
          <w:color w:val="212121"/>
          <w:sz w:val="26"/>
          <w:szCs w:val="26"/>
          <w:lang w:eastAsia="ru-RU"/>
        </w:rPr>
        <w:t xml:space="preserve">       7. Ответственные исполнители муниципальных программ до 10 апреля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Замечания и предложения по уточнению проекта перечня налоговых расходов группируются в администрации муниципального образования в течение срока, указанного в пункте 6 настоящего Порядка.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При наличии разногласий по проекту перечня налоговых расходов администрация муниципального образования обеспечивает проведение согласительных совещаний с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8. В соответствии с решением Комиссии перечень налоговых расходов муниципального образования размещается на официальном сайте муниципального образования в информационно-телекоммуникационной сети «Интернет».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9. </w:t>
      </w:r>
      <w:proofErr w:type="gramStart"/>
      <w:r w:rsidRPr="00C26E76">
        <w:rPr>
          <w:rFonts w:ascii="Times New Roman" w:eastAsia="Times New Roman" w:hAnsi="Times New Roman"/>
          <w:color w:val="212121"/>
          <w:sz w:val="26"/>
          <w:szCs w:val="26"/>
          <w:lang w:eastAsia="ru-RU"/>
        </w:rPr>
        <w:t>В случае внесения в текущем финансовом году изменений в перечень муниципальных программ муниципального образования, в связи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10. </w:t>
      </w:r>
      <w:proofErr w:type="gramStart"/>
      <w:r w:rsidRPr="00C26E76">
        <w:rPr>
          <w:rFonts w:ascii="Times New Roman" w:eastAsia="Times New Roman" w:hAnsi="Times New Roman"/>
          <w:color w:val="212121"/>
          <w:sz w:val="26"/>
          <w:szCs w:val="26"/>
          <w:lang w:eastAsia="ru-RU"/>
        </w:rPr>
        <w:t>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w:t>
      </w:r>
      <w:proofErr w:type="gramEnd"/>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бюджете</w:t>
      </w:r>
      <w:proofErr w:type="gramEnd"/>
      <w:r w:rsidRPr="00C26E76">
        <w:rPr>
          <w:rFonts w:ascii="Times New Roman" w:eastAsia="Times New Roman" w:hAnsi="Times New Roman"/>
          <w:color w:val="212121"/>
          <w:sz w:val="26"/>
          <w:szCs w:val="26"/>
          <w:lang w:eastAsia="ru-RU"/>
        </w:rPr>
        <w:t xml:space="preserve"> муниципального образования на очередной финансовый год и плановый период).</w:t>
      </w:r>
    </w:p>
    <w:p w:rsidR="00C26E76" w:rsidRPr="00C26E76" w:rsidRDefault="00C26E76" w:rsidP="00C26E76">
      <w:pPr>
        <w:shd w:val="clear" w:color="auto" w:fill="FFFFFF"/>
        <w:spacing w:after="0" w:line="240" w:lineRule="auto"/>
        <w:jc w:val="center"/>
        <w:rPr>
          <w:rFonts w:ascii="Times New Roman" w:eastAsia="Times New Roman" w:hAnsi="Times New Roman"/>
          <w:b/>
          <w:bCs/>
          <w:color w:val="212121"/>
          <w:sz w:val="26"/>
          <w:szCs w:val="26"/>
          <w:lang w:eastAsia="ru-RU"/>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III. Порядок оценки налоговых расходов</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1"/>
          <w:szCs w:val="21"/>
          <w:lang w:eastAsia="ru-RU"/>
        </w:rPr>
        <w:t> </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11. Методики оценки эффективности налоговых расходов муниципального образования разрабатываются и утверждаются администрацией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12. </w:t>
      </w:r>
      <w:proofErr w:type="gramStart"/>
      <w:r w:rsidRPr="00C26E76">
        <w:rPr>
          <w:rFonts w:ascii="Times New Roman" w:eastAsia="Times New Roman" w:hAnsi="Times New Roman"/>
          <w:color w:val="212121"/>
          <w:sz w:val="26"/>
          <w:szCs w:val="26"/>
          <w:lang w:eastAsia="ru-RU"/>
        </w:rPr>
        <w:t>В целях оценки эффективности налоговых расходов муниципального образования администрация муниципального образования формирует ежегодно, до 15 ноября,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бюджета</w:t>
      </w:r>
      <w:proofErr w:type="gramEnd"/>
      <w:r w:rsidRPr="00C26E76">
        <w:rPr>
          <w:rFonts w:ascii="Times New Roman" w:eastAsia="Times New Roman" w:hAnsi="Times New Roman"/>
          <w:color w:val="212121"/>
          <w:sz w:val="26"/>
          <w:szCs w:val="26"/>
          <w:lang w:eastAsia="ru-RU"/>
        </w:rPr>
        <w:t xml:space="preserve"> муниципального образования. Оценка эффективности налоговых расходов муниципального образования осуществляется кураторами налоговых расходов и включает: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оценку целесообразности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оценку результативности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13. Критериями целесообразности налоговых расходов муниципального образования являются: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соответствие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б) востребованность плательщиками предоставленных льгот, </w:t>
      </w:r>
      <w:proofErr w:type="gramStart"/>
      <w:r w:rsidRPr="00C26E76">
        <w:rPr>
          <w:rFonts w:ascii="Times New Roman" w:eastAsia="Times New Roman" w:hAnsi="Times New Roman"/>
          <w:color w:val="212121"/>
          <w:sz w:val="26"/>
          <w:szCs w:val="26"/>
          <w:lang w:eastAsia="ru-RU"/>
        </w:rPr>
        <w:t>которая</w:t>
      </w:r>
      <w:proofErr w:type="gramEnd"/>
      <w:r w:rsidRPr="00C26E76">
        <w:rPr>
          <w:rFonts w:ascii="Times New Roman" w:eastAsia="Times New Roman" w:hAnsi="Times New Roman"/>
          <w:color w:val="212121"/>
          <w:sz w:val="26"/>
          <w:szCs w:val="26"/>
          <w:lang w:eastAsia="ru-RU"/>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14. В случае несоответствия налоговых расходов муниципального образования хотя бы одному из критериев, указанных в </w:t>
      </w:r>
      <w:hyperlink r:id="rId6" w:anchor="Par80" w:tooltip="13. Критериями целесообразности налоговых расходов Российской Федерации являются:" w:history="1">
        <w:r w:rsidRPr="00C26E76">
          <w:rPr>
            <w:rFonts w:ascii="Times New Roman" w:eastAsia="Times New Roman" w:hAnsi="Times New Roman"/>
            <w:color w:val="0263B2"/>
            <w:sz w:val="26"/>
            <w:szCs w:val="26"/>
            <w:u w:val="single"/>
            <w:lang w:eastAsia="ru-RU"/>
          </w:rPr>
          <w:t>пункте 13</w:t>
        </w:r>
      </w:hyperlink>
      <w:r w:rsidRPr="00C26E76">
        <w:rPr>
          <w:rFonts w:ascii="Times New Roman" w:eastAsia="Times New Roman" w:hAnsi="Times New Roman"/>
          <w:color w:val="212121"/>
          <w:sz w:val="26"/>
          <w:szCs w:val="26"/>
          <w:lang w:eastAsia="ru-RU"/>
        </w:rPr>
        <w:t> настоящего Порядка, куратору налогового расхода надлежит представить предложения о сохранении (уточнении, отмене) льгот для плательщиков.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15.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17. </w:t>
      </w:r>
      <w:proofErr w:type="gramStart"/>
      <w:r w:rsidRPr="00C26E76">
        <w:rPr>
          <w:rFonts w:ascii="Times New Roman" w:eastAsia="Times New Roman" w:hAnsi="Times New Roman"/>
          <w:color w:val="212121"/>
          <w:sz w:val="26"/>
          <w:szCs w:val="26"/>
          <w:lang w:eastAsia="ru-RU"/>
        </w:rPr>
        <w:t>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w:t>
      </w:r>
      <w:proofErr w:type="gramEnd"/>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w:t>
      </w:r>
      <w:proofErr w:type="gramEnd"/>
      <w:r w:rsidRPr="00C26E76">
        <w:rPr>
          <w:rFonts w:ascii="Times New Roman" w:eastAsia="Times New Roman" w:hAnsi="Times New Roman"/>
          <w:color w:val="212121"/>
          <w:sz w:val="26"/>
          <w:szCs w:val="26"/>
          <w:lang w:eastAsia="ru-RU"/>
        </w:rPr>
        <w:t xml:space="preserve"> показателя (индикатора) в случае применения альтернативных механизмов).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18. В качестве альтернативных </w:t>
      </w:r>
      <w:proofErr w:type="gramStart"/>
      <w:r w:rsidRPr="00C26E76">
        <w:rPr>
          <w:rFonts w:ascii="Times New Roman" w:eastAsia="Times New Roman" w:hAnsi="Times New Roman"/>
          <w:color w:val="212121"/>
          <w:sz w:val="26"/>
          <w:szCs w:val="26"/>
          <w:lang w:eastAsia="ru-RU"/>
        </w:rPr>
        <w:t>механизмов достижения целей муниципальной программы муниципального образования</w:t>
      </w:r>
      <w:proofErr w:type="gramEnd"/>
      <w:r w:rsidRPr="00C26E76">
        <w:rPr>
          <w:rFonts w:ascii="Times New Roman" w:eastAsia="Times New Roman" w:hAnsi="Times New Roman"/>
          <w:color w:val="212121"/>
          <w:sz w:val="26"/>
          <w:szCs w:val="26"/>
          <w:lang w:eastAsia="ru-RU"/>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предоставление муниципальных гарантий муниципального образования по обязательствам плательщиков, имеющих право на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г)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20. </w:t>
      </w:r>
      <w:proofErr w:type="gramStart"/>
      <w:r w:rsidRPr="00C26E76">
        <w:rPr>
          <w:rFonts w:ascii="Times New Roman" w:eastAsia="Times New Roman" w:hAnsi="Times New Roman"/>
          <w:color w:val="212121"/>
          <w:sz w:val="26"/>
          <w:szCs w:val="26"/>
          <w:lang w:eastAsia="ru-RU"/>
        </w:rPr>
        <w:t>Оценка совокупного бюджетного эффекта (самоокупаемости) стимулирующих налоговых расходов муниципального образования определяется в отношении налоговых расходов муниципального образования, перечень которых формируется администрацией муниципального образования,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roofErr w:type="gramEnd"/>
    </w:p>
    <w:p w:rsidR="00C26E76" w:rsidRPr="00C26E76" w:rsidRDefault="00C26E76" w:rsidP="00C26E76">
      <w:pPr>
        <w:spacing w:line="259" w:lineRule="auto"/>
        <w:rPr>
          <w:rFonts w:ascii="Times New Roman" w:hAnsi="Times New Roman"/>
          <w:sz w:val="28"/>
          <w:szCs w:val="28"/>
        </w:rPr>
      </w:pPr>
      <m:oMathPara>
        <m:oMath>
          <m:r>
            <m:rPr>
              <m:sty m:val="p"/>
            </m:rPr>
            <w:rPr>
              <w:rFonts w:ascii="Cambria Math" w:hAnsi="Cambria Math"/>
              <w:sz w:val="40"/>
              <w:lang w:val="en-US"/>
            </w:rPr>
            <m:t>E</m:t>
          </m:r>
          <m:r>
            <m:rPr>
              <m:sty m:val="p"/>
            </m:rPr>
            <w:rPr>
              <w:rFonts w:ascii="Cambria Math" w:eastAsia="Cambria Math" w:hAnsi="Cambria Math" w:cs="Cambria Math"/>
              <w:sz w:val="40"/>
            </w:rPr>
            <m:t>=</m:t>
          </m:r>
          <m:nary>
            <m:naryPr>
              <m:chr m:val="∑"/>
              <m:ctrlPr>
                <w:rPr>
                  <w:rFonts w:ascii="Cambria Math" w:hAnsi="Cambria Math"/>
                  <w:sz w:val="40"/>
                </w:rPr>
              </m:ctrlPr>
            </m:naryPr>
            <m:sub>
              <m:argPr>
                <m:argSz m:val="-2"/>
              </m:argPr>
              <m:r>
                <m:rPr>
                  <m:sty m:val="p"/>
                </m:rPr>
                <w:rPr>
                  <w:rFonts w:ascii="Cambria Math" w:eastAsia="Cambria Math" w:hAnsi="Cambria Math" w:cs="Cambria Math"/>
                  <w:sz w:val="40"/>
                  <w:lang w:val="en-US"/>
                </w:rPr>
                <m:t>i</m:t>
              </m:r>
              <m:r>
                <m:rPr>
                  <m:sty m:val="p"/>
                </m:rPr>
                <w:rPr>
                  <w:rFonts w:ascii="Cambria Math" w:eastAsia="Cambria Math" w:hAnsi="Cambria Math" w:cs="Cambria Math"/>
                  <w:sz w:val="40"/>
                </w:rPr>
                <m:t>=1</m:t>
              </m:r>
            </m:sub>
            <m:sup>
              <m:argPr>
                <m:argSz m:val="-2"/>
              </m:argPr>
              <m:r>
                <m:rPr>
                  <m:sty m:val="p"/>
                </m:rPr>
                <w:rPr>
                  <w:rFonts w:ascii="Cambria Math" w:hAnsi="Cambria Math"/>
                  <w:sz w:val="40"/>
                </w:rPr>
                <m:t>5</m:t>
              </m:r>
            </m:sup>
            <m:e>
              <m:nary>
                <m:naryPr>
                  <m:chr m:val="∑"/>
                  <m:ctrlPr>
                    <w:rPr>
                      <w:rFonts w:ascii="Cambria Math" w:hAnsi="Cambria Math"/>
                      <w:sz w:val="40"/>
                    </w:rPr>
                  </m:ctrlPr>
                </m:naryPr>
                <m:sub>
                  <m:argPr>
                    <m:argSz m:val="-2"/>
                  </m:argPr>
                  <m:r>
                    <m:rPr>
                      <m:sty m:val="p"/>
                    </m:rPr>
                    <w:rPr>
                      <w:rFonts w:ascii="Cambria Math" w:eastAsia="Cambria Math" w:hAnsi="Cambria Math" w:cs="Cambria Math"/>
                      <w:sz w:val="40"/>
                      <w:lang w:val="en-US"/>
                    </w:rPr>
                    <m:t>j</m:t>
                  </m:r>
                  <m:r>
                    <m:rPr>
                      <m:sty m:val="p"/>
                    </m:rPr>
                    <w:rPr>
                      <w:rFonts w:ascii="Cambria Math" w:eastAsia="Cambria Math" w:hAnsi="Cambria Math" w:cs="Cambria Math"/>
                      <w:sz w:val="40"/>
                    </w:rPr>
                    <m:t>=1</m:t>
                  </m:r>
                </m:sub>
                <m:sup>
                  <m:argPr>
                    <m:argSz m:val="-2"/>
                  </m:argPr>
                  <m:sSub>
                    <m:sSubPr>
                      <m:ctrlPr>
                        <w:rPr>
                          <w:rFonts w:ascii="Cambria Math" w:hAnsi="Cambria Math"/>
                          <w:sz w:val="40"/>
                        </w:rPr>
                      </m:ctrlPr>
                    </m:sSubPr>
                    <m:e>
                      <m:r>
                        <m:rPr>
                          <m:sty m:val="p"/>
                        </m:rPr>
                        <w:rPr>
                          <w:rFonts w:ascii="Cambria Math" w:hAnsi="Cambria Math"/>
                          <w:sz w:val="40"/>
                        </w:rPr>
                        <m:t>m</m:t>
                      </m:r>
                    </m:e>
                    <m:sub>
                      <m:r>
                        <m:rPr>
                          <m:sty m:val="p"/>
                        </m:rPr>
                        <w:rPr>
                          <w:rFonts w:ascii="Cambria Math" w:hAnsi="Cambria Math"/>
                          <w:sz w:val="40"/>
                        </w:rPr>
                        <m:t>i</m:t>
                      </m:r>
                    </m:sub>
                  </m:sSub>
                </m:sup>
                <m:e>
                  <m:f>
                    <m:fPr>
                      <m:ctrlPr>
                        <w:rPr>
                          <w:rFonts w:ascii="Cambria Math" w:hAnsi="Cambria Math"/>
                          <w:sz w:val="40"/>
                        </w:rPr>
                      </m:ctrlPr>
                    </m:fPr>
                    <m:num>
                      <m:sSub>
                        <m:sSubPr>
                          <m:ctrlPr>
                            <w:rPr>
                              <w:rFonts w:ascii="Cambria Math" w:hAnsi="Cambria Math"/>
                              <w:sz w:val="40"/>
                            </w:rPr>
                          </m:ctrlPr>
                        </m:sSubPr>
                        <m:e>
                          <m:r>
                            <m:rPr>
                              <m:sty m:val="p"/>
                            </m:rPr>
                            <w:rPr>
                              <w:rFonts w:ascii="Cambria Math" w:hAnsi="Cambria Math"/>
                              <w:sz w:val="40"/>
                              <w:lang w:val="en-US"/>
                            </w:rPr>
                            <m:t>N</m:t>
                          </m:r>
                        </m:e>
                        <m:sub>
                          <m:r>
                            <m:rPr>
                              <m:sty m:val="p"/>
                            </m:rPr>
                            <w:rPr>
                              <w:rFonts w:ascii="Cambria Math" w:hAnsi="Cambria Math"/>
                              <w:sz w:val="40"/>
                            </w:rPr>
                            <m:t>i</m:t>
                          </m:r>
                          <m:r>
                            <m:rPr>
                              <m:sty m:val="p"/>
                            </m:rPr>
                            <w:rPr>
                              <w:rFonts w:ascii="Cambria Math" w:hAnsi="Cambria Math"/>
                              <w:sz w:val="40"/>
                              <w:lang w:val="en-US"/>
                            </w:rPr>
                            <m:t>j</m:t>
                          </m:r>
                        </m:sub>
                      </m:sSub>
                      <m:r>
                        <m:rPr>
                          <m:sty m:val="p"/>
                        </m:rPr>
                        <w:rPr>
                          <w:rFonts w:ascii="Cambria Math" w:hAnsi="Cambria Math"/>
                          <w:sz w:val="40"/>
                        </w:rPr>
                        <m:t>-</m:t>
                      </m:r>
                      <m:sSub>
                        <m:sSubPr>
                          <m:ctrlPr>
                            <w:rPr>
                              <w:rFonts w:ascii="Cambria Math" w:hAnsi="Cambria Math"/>
                              <w:sz w:val="40"/>
                            </w:rPr>
                          </m:ctrlPr>
                        </m:sSubPr>
                        <m:e>
                          <m:r>
                            <m:rPr>
                              <m:sty m:val="p"/>
                            </m:rPr>
                            <w:rPr>
                              <w:rFonts w:ascii="Cambria Math" w:hAnsi="Cambria Math"/>
                              <w:sz w:val="40"/>
                              <w:lang w:val="en-US"/>
                            </w:rPr>
                            <m:t>B</m:t>
                          </m:r>
                        </m:e>
                        <m:sub>
                          <m:r>
                            <m:rPr>
                              <m:sty m:val="p"/>
                            </m:rPr>
                            <w:rPr>
                              <w:rFonts w:ascii="Cambria Math" w:hAnsi="Cambria Math"/>
                              <w:sz w:val="40"/>
                            </w:rPr>
                            <m:t>0</m:t>
                          </m:r>
                          <m:r>
                            <m:rPr>
                              <m:sty m:val="p"/>
                            </m:rPr>
                            <w:rPr>
                              <w:rFonts w:ascii="Cambria Math" w:hAnsi="Cambria Math"/>
                              <w:sz w:val="40"/>
                              <w:lang w:val="en-US"/>
                            </w:rPr>
                            <m:t>j</m:t>
                          </m:r>
                        </m:sub>
                      </m:sSub>
                      <m:r>
                        <m:rPr>
                          <m:sty m:val="p"/>
                        </m:rPr>
                        <w:rPr>
                          <w:rFonts w:ascii="Cambria Math" w:hAnsi="Cambria Math"/>
                          <w:sz w:val="40"/>
                        </w:rPr>
                        <m:t>*</m:t>
                      </m:r>
                      <m:d>
                        <m:dPr>
                          <m:ctrlPr>
                            <w:rPr>
                              <w:rFonts w:ascii="Cambria Math" w:hAnsi="Cambria Math"/>
                              <w:sz w:val="40"/>
                            </w:rPr>
                          </m:ctrlPr>
                        </m:dPr>
                        <m:e>
                          <m:r>
                            <m:rPr>
                              <m:sty m:val="p"/>
                            </m:rPr>
                            <w:rPr>
                              <w:rFonts w:ascii="Cambria Math" w:hAnsi="Cambria Math"/>
                              <w:sz w:val="40"/>
                            </w:rPr>
                            <m:t>1+</m:t>
                          </m:r>
                          <m:sSub>
                            <m:sSubPr>
                              <m:ctrlPr>
                                <w:rPr>
                                  <w:rFonts w:ascii="Cambria Math" w:hAnsi="Cambria Math"/>
                                  <w:sz w:val="40"/>
                                  <w:lang w:val="en-US"/>
                                </w:rPr>
                              </m:ctrlPr>
                            </m:sSubPr>
                            <m:e>
                              <m:r>
                                <m:rPr>
                                  <m:sty m:val="p"/>
                                </m:rPr>
                                <w:rPr>
                                  <w:rFonts w:ascii="Cambria Math" w:hAnsi="Cambria Math"/>
                                  <w:sz w:val="40"/>
                                  <w:lang w:val="en-US"/>
                                </w:rPr>
                                <m:t>g</m:t>
                              </m:r>
                            </m:e>
                            <m:sub>
                              <m:r>
                                <m:rPr>
                                  <m:sty m:val="p"/>
                                </m:rPr>
                                <w:rPr>
                                  <w:rFonts w:ascii="Cambria Math" w:hAnsi="Cambria Math"/>
                                  <w:sz w:val="40"/>
                                  <w:lang w:val="en-US"/>
                                </w:rPr>
                                <m:t>i</m:t>
                              </m:r>
                            </m:sub>
                          </m:sSub>
                        </m:e>
                      </m:d>
                    </m:num>
                    <m:den>
                      <m:sSup>
                        <m:sSupPr>
                          <m:ctrlPr>
                            <w:rPr>
                              <w:rFonts w:ascii="Cambria Math" w:hAnsi="Cambria Math"/>
                              <w:sz w:val="40"/>
                              <w:lang w:val="en-US"/>
                            </w:rPr>
                          </m:ctrlPr>
                        </m:sSupPr>
                        <m:e>
                          <m:r>
                            <m:rPr>
                              <m:sty m:val="p"/>
                            </m:rPr>
                            <w:rPr>
                              <w:rFonts w:ascii="Cambria Math" w:hAnsi="Cambria Math"/>
                              <w:sz w:val="40"/>
                            </w:rPr>
                            <m:t>(1+r)</m:t>
                          </m:r>
                        </m:e>
                        <m:sup>
                          <m:r>
                            <m:rPr>
                              <m:sty m:val="p"/>
                            </m:rPr>
                            <w:rPr>
                              <w:rFonts w:ascii="Cambria Math" w:hAnsi="Cambria Math"/>
                              <w:sz w:val="40"/>
                              <w:lang w:val="en-US"/>
                            </w:rPr>
                            <m:t>i</m:t>
                          </m:r>
                        </m:sup>
                      </m:sSup>
                    </m:den>
                  </m:f>
                </m:e>
              </m:nary>
            </m:e>
          </m:nary>
        </m:oMath>
      </m:oMathPara>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где: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i - порядковый номер года, имеющий значение от 1 до 5;</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m</w:t>
      </w:r>
      <w:r w:rsidRPr="00C26E76">
        <w:rPr>
          <w:rFonts w:ascii="Times New Roman" w:eastAsia="Times New Roman" w:hAnsi="Times New Roman"/>
          <w:color w:val="212121"/>
          <w:sz w:val="20"/>
          <w:szCs w:val="20"/>
          <w:vertAlign w:val="subscript"/>
          <w:lang w:eastAsia="ru-RU"/>
        </w:rPr>
        <w:t>i</w:t>
      </w:r>
      <w:proofErr w:type="spellEnd"/>
      <w:r w:rsidRPr="00C26E76">
        <w:rPr>
          <w:rFonts w:ascii="Times New Roman" w:eastAsia="Times New Roman" w:hAnsi="Times New Roman"/>
          <w:color w:val="212121"/>
          <w:sz w:val="26"/>
          <w:szCs w:val="26"/>
          <w:lang w:eastAsia="ru-RU"/>
        </w:rPr>
        <w:t> - количество плательщиков, воспользовавшихся льготой в i-м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j - порядковый номер плательщика, имеющий значение от 1 до m;</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N</w:t>
      </w:r>
      <w:r w:rsidRPr="00C26E76">
        <w:rPr>
          <w:rFonts w:ascii="Times New Roman" w:eastAsia="Times New Roman" w:hAnsi="Times New Roman"/>
          <w:color w:val="212121"/>
          <w:sz w:val="20"/>
          <w:szCs w:val="20"/>
          <w:vertAlign w:val="subscript"/>
          <w:lang w:eastAsia="ru-RU"/>
        </w:rPr>
        <w:t>ij</w:t>
      </w:r>
      <w:proofErr w:type="spellEnd"/>
      <w:r w:rsidRPr="00C26E76">
        <w:rPr>
          <w:rFonts w:ascii="Times New Roman" w:eastAsia="Times New Roman" w:hAnsi="Times New Roman"/>
          <w:color w:val="212121"/>
          <w:sz w:val="26"/>
          <w:szCs w:val="26"/>
          <w:lang w:eastAsia="ru-RU"/>
        </w:rPr>
        <w:t> - объем налогов, сборов, задекларированных для уплаты в бюджет муниципального образования j-м плательщиком в i-м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базовый объем налогов, сборов, задекларированных для уплаты в бюджет муниципального образования j-м плательщиком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g</w:t>
      </w:r>
      <w:r w:rsidRPr="00C26E76">
        <w:rPr>
          <w:rFonts w:ascii="Times New Roman" w:eastAsia="Times New Roman" w:hAnsi="Times New Roman"/>
          <w:color w:val="212121"/>
          <w:sz w:val="20"/>
          <w:szCs w:val="20"/>
          <w:vertAlign w:val="subscript"/>
          <w:lang w:eastAsia="ru-RU"/>
        </w:rPr>
        <w:t>i</w:t>
      </w:r>
      <w:proofErr w:type="spellEnd"/>
      <w:r w:rsidRPr="00C26E76">
        <w:rPr>
          <w:rFonts w:ascii="Times New Roman" w:eastAsia="Times New Roman" w:hAnsi="Times New Roman"/>
          <w:color w:val="212121"/>
          <w:sz w:val="26"/>
          <w:szCs w:val="26"/>
          <w:lang w:eastAsia="ru-RU"/>
        </w:rPr>
        <w:t> - номинальный темп прироста доходов бюджета муниципального образования в i-м году по отношению к базовому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Номинальный темп прироста доходов бюджета муниципального образования от уплаты налогов, сборов, в бюджет муниципального образования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w:t>
      </w:r>
      <w:proofErr w:type="gramEnd"/>
      <w:r w:rsidRPr="00C26E76">
        <w:rPr>
          <w:rFonts w:ascii="Times New Roman" w:eastAsia="Times New Roman" w:hAnsi="Times New Roman"/>
          <w:color w:val="212121"/>
          <w:sz w:val="26"/>
          <w:szCs w:val="26"/>
          <w:lang w:eastAsia="ru-RU"/>
        </w:rPr>
        <w:t>, а также от целевого уровня инфляции, определяемого Центральным банком Российской Федерации на среднесрочную перспективу (4 процента).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Номинальный темп прироста доходов бюджета муниципального образования от уплаты налогов, сборов, определяется администрацией муниципального образования не позднее 15 ноября;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r - расчетная стоимость среднесрочных рыночных заимствований муниципального образования, принимаемая на уровне 7,5 процента.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21. Базовый объем налогов, сборов, задекларированных для уплаты в бюджет муниципального образования j-м плательщиком в базовом году (B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рассчитывается по формуле:</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N</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L</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где: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N</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объем налогов, сборов, задекларированных для уплаты в бюджет муниципального образования j-м плательщиком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L</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объем льгот, предоставленных j-</w:t>
      </w:r>
      <w:proofErr w:type="spellStart"/>
      <w:r w:rsidRPr="00C26E76">
        <w:rPr>
          <w:rFonts w:ascii="Times New Roman" w:eastAsia="Times New Roman" w:hAnsi="Times New Roman"/>
          <w:color w:val="212121"/>
          <w:sz w:val="26"/>
          <w:szCs w:val="26"/>
          <w:lang w:eastAsia="ru-RU"/>
        </w:rPr>
        <w:t>му</w:t>
      </w:r>
      <w:proofErr w:type="spellEnd"/>
      <w:r w:rsidRPr="00C26E76">
        <w:rPr>
          <w:rFonts w:ascii="Times New Roman" w:eastAsia="Times New Roman" w:hAnsi="Times New Roman"/>
          <w:color w:val="212121"/>
          <w:sz w:val="26"/>
          <w:szCs w:val="26"/>
          <w:lang w:eastAsia="ru-RU"/>
        </w:rPr>
        <w:t xml:space="preserve"> плательщику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22. Куратор налогового расхода в рамках </w:t>
      </w:r>
      <w:proofErr w:type="gramStart"/>
      <w:r w:rsidRPr="00C26E76">
        <w:rPr>
          <w:rFonts w:ascii="Times New Roman" w:eastAsia="Times New Roman" w:hAnsi="Times New Roman"/>
          <w:color w:val="212121"/>
          <w:sz w:val="26"/>
          <w:szCs w:val="26"/>
          <w:lang w:eastAsia="ru-RU"/>
        </w:rPr>
        <w:t>методики оценки эффективности налогового расхода муниципального образования</w:t>
      </w:r>
      <w:proofErr w:type="gramEnd"/>
      <w:r w:rsidRPr="00C26E76">
        <w:rPr>
          <w:rFonts w:ascii="Times New Roman" w:eastAsia="Times New Roman" w:hAnsi="Times New Roman"/>
          <w:color w:val="212121"/>
          <w:sz w:val="26"/>
          <w:szCs w:val="26"/>
          <w:lang w:eastAsia="ru-RU"/>
        </w:rPr>
        <w:t xml:space="preserve"> вправе предусматривать дополнительные критерии оценки бюджетной эффективности налогового расхода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23. </w:t>
      </w:r>
      <w:proofErr w:type="gramStart"/>
      <w:r w:rsidRPr="00C26E76">
        <w:rPr>
          <w:rFonts w:ascii="Times New Roman" w:eastAsia="Times New Roman" w:hAnsi="Times New Roman"/>
          <w:color w:val="212121"/>
          <w:sz w:val="26"/>
          <w:szCs w:val="26"/>
          <w:lang w:eastAsia="ru-RU"/>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 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w:t>
      </w:r>
      <w:proofErr w:type="gramEnd"/>
      <w:r w:rsidRPr="00C26E76">
        <w:rPr>
          <w:rFonts w:ascii="Times New Roman" w:eastAsia="Times New Roman" w:hAnsi="Times New Roman"/>
          <w:color w:val="212121"/>
          <w:sz w:val="26"/>
          <w:szCs w:val="26"/>
          <w:lang w:eastAsia="ru-RU"/>
        </w:rPr>
        <w:t xml:space="preserve">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муниципального образования ежегодно, до 15 декабря (уточненные данные - до 1 марта).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24. Администрация муниципального образования обобщает результаты оценки налоговых расходов муниципального образования до 30 апреля.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C26E76">
        <w:rPr>
          <w:rFonts w:ascii="Times New Roman" w:eastAsia="Times New Roman" w:hAnsi="Times New Roman"/>
          <w:color w:val="212121"/>
          <w:sz w:val="26"/>
          <w:szCs w:val="26"/>
          <w:lang w:eastAsia="ru-RU"/>
        </w:rPr>
        <w:t>оценки эффективности реализации муниципальных программ муниципального образования</w:t>
      </w:r>
      <w:proofErr w:type="gramEnd"/>
      <w:r w:rsidRPr="00C26E76">
        <w:rPr>
          <w:rFonts w:ascii="Times New Roman" w:eastAsia="Times New Roman" w:hAnsi="Times New Roman"/>
          <w:color w:val="212121"/>
          <w:sz w:val="26"/>
          <w:szCs w:val="26"/>
          <w:lang w:eastAsia="ru-RU"/>
        </w:rPr>
        <w:t>.</w:t>
      </w: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pageBreakBefore/>
        <w:widowControl w:val="0"/>
        <w:autoSpaceDE w:val="0"/>
        <w:autoSpaceDN w:val="0"/>
        <w:adjustRightInd w:val="0"/>
        <w:spacing w:after="0" w:line="240" w:lineRule="auto"/>
        <w:ind w:firstLine="539"/>
        <w:jc w:val="right"/>
        <w:rPr>
          <w:rFonts w:ascii="Times New Roman" w:hAnsi="Times New Roman"/>
          <w:color w:val="000000"/>
          <w:sz w:val="26"/>
          <w:szCs w:val="26"/>
        </w:rPr>
      </w:pPr>
      <w:r w:rsidRPr="00C26E76">
        <w:rPr>
          <w:rFonts w:ascii="Times New Roman" w:hAnsi="Times New Roman"/>
          <w:color w:val="000000"/>
          <w:sz w:val="26"/>
          <w:szCs w:val="26"/>
        </w:rPr>
        <w:lastRenderedPageBreak/>
        <w:t>ПРИЛОЖЕНИЕ</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к Порядку формирования перечня</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 xml:space="preserve"> налоговых расходов                                                                                           </w:t>
      </w:r>
      <w:r w:rsidRPr="00C26E76">
        <w:rPr>
          <w:rFonts w:ascii="Times New Roman" w:hAnsi="Times New Roman"/>
          <w:color w:val="212121"/>
          <w:sz w:val="26"/>
          <w:szCs w:val="26"/>
          <w:shd w:val="clear" w:color="auto" w:fill="FFFFFF"/>
        </w:rPr>
        <w:t>муниципального образования</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 xml:space="preserve">и оценки налоговых расходов                                                                                  </w:t>
      </w:r>
      <w:r w:rsidRPr="00C26E76">
        <w:rPr>
          <w:rFonts w:ascii="Times New Roman" w:hAnsi="Times New Roman"/>
          <w:color w:val="212121"/>
          <w:sz w:val="26"/>
          <w:szCs w:val="26"/>
          <w:shd w:val="clear" w:color="auto" w:fill="FFFFFF"/>
        </w:rPr>
        <w:t xml:space="preserve">муниципального образования                                                                                          </w:t>
      </w:r>
      <w:r>
        <w:rPr>
          <w:rFonts w:ascii="Times New Roman" w:hAnsi="Times New Roman"/>
          <w:color w:val="212121"/>
          <w:sz w:val="26"/>
          <w:szCs w:val="26"/>
          <w:shd w:val="clear" w:color="auto" w:fill="FFFFFF"/>
        </w:rPr>
        <w:t>Дубенский поссовет</w:t>
      </w: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ПЕРЕЧЕНЬ</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информации, включаемой в паспорт налогового расхода</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 муниципального образования</w:t>
      </w:r>
    </w:p>
    <w:tbl>
      <w:tblPr>
        <w:tblW w:w="0" w:type="auto"/>
        <w:tblInd w:w="6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0"/>
        <w:gridCol w:w="5443"/>
        <w:gridCol w:w="3118"/>
      </w:tblGrid>
      <w:tr w:rsidR="00C26E76" w:rsidRPr="00C26E76" w:rsidTr="00C06A63">
        <w:tc>
          <w:tcPr>
            <w:tcW w:w="5913"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4"/>
                <w:szCs w:val="24"/>
                <w:lang w:eastAsia="ru-RU"/>
              </w:rPr>
              <w:t>Предоставляемая информация</w:t>
            </w:r>
          </w:p>
        </w:tc>
        <w:tc>
          <w:tcPr>
            <w:tcW w:w="311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4"/>
                <w:szCs w:val="24"/>
                <w:lang w:eastAsia="ru-RU"/>
              </w:rPr>
              <w:t>Источник данных</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 Нормативные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Наименования налогов, сборов, по которым предусматриваются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2.</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Муниципальные нормативные правовые акты, которыми предусматриваются налоговые льготы, освобождения и иные преференции по налогам, сборам</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3.</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Категории плательщиков налогов, сборов, для которых предусмотрены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4.</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Условия предоставления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5.</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Целевая категория плательщиков налогов, сборов, для которых предусмотрены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6.</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Даты вступления в силу муниципальных нормативных правовых актов, устанавливающих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7.</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Даты вступления в силу муниципальных нормативных правовых актов, отменяющих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II. Целевые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Целевая категория налоговых расходов муниципального образования</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Цели предоставления налоговых льгот, освобождений и иных преференций для </w:t>
            </w:r>
            <w:r w:rsidRPr="00C26E76">
              <w:rPr>
                <w:rFonts w:ascii="Times New Roman" w:eastAsia="Times New Roman" w:hAnsi="Times New Roman"/>
                <w:color w:val="212121"/>
                <w:sz w:val="24"/>
                <w:szCs w:val="24"/>
                <w:lang w:eastAsia="ru-RU"/>
              </w:rPr>
              <w:lastRenderedPageBreak/>
              <w:t>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10.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Наименования муниципальных программ муниципального образования, наименования муниципальных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w:t>
            </w:r>
            <w:proofErr w:type="gramStart"/>
            <w:r w:rsidRPr="00C26E76">
              <w:rPr>
                <w:rFonts w:ascii="Times New Roman" w:eastAsia="Times New Roman" w:hAnsi="Times New Roman"/>
                <w:color w:val="212121"/>
                <w:sz w:val="24"/>
                <w:szCs w:val="24"/>
                <w:lang w:eastAsia="ru-RU"/>
              </w:rPr>
              <w:t>целях</w:t>
            </w:r>
            <w:proofErr w:type="gramEnd"/>
            <w:r w:rsidRPr="00C26E76">
              <w:rPr>
                <w:rFonts w:ascii="Times New Roman" w:eastAsia="Times New Roman" w:hAnsi="Times New Roman"/>
                <w:color w:val="212121"/>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 и данные куратора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11.</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Наименования структурных элементов муниципальных программ муниципального образования, в </w:t>
            </w:r>
            <w:proofErr w:type="gramStart"/>
            <w:r w:rsidRPr="00C26E76">
              <w:rPr>
                <w:rFonts w:ascii="Times New Roman" w:eastAsia="Times New Roman" w:hAnsi="Times New Roman"/>
                <w:color w:val="212121"/>
                <w:sz w:val="24"/>
                <w:szCs w:val="24"/>
                <w:lang w:eastAsia="ru-RU"/>
              </w:rPr>
              <w:t>целях</w:t>
            </w:r>
            <w:proofErr w:type="gramEnd"/>
            <w:r w:rsidRPr="00C26E76">
              <w:rPr>
                <w:rFonts w:ascii="Times New Roman" w:eastAsia="Times New Roman" w:hAnsi="Times New Roman"/>
                <w:color w:val="212121"/>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12.</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13.</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14.</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III. Фискальные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15.</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16.</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администрация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17.</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4"/>
                <w:szCs w:val="24"/>
                <w:lang w:eastAsia="ru-RU"/>
              </w:rPr>
              <w:t>Общая численность плательщиков налогов, сборов в отчетном финансовому году (единиц)</w:t>
            </w:r>
            <w:proofErr w:type="gramEnd"/>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20.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Объем налогов, сборов, задекларированный для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bl>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jc w:val="center"/>
        <w:rPr>
          <w:rFonts w:ascii="Times New Roman" w:hAnsi="Times New Roman"/>
          <w:sz w:val="28"/>
          <w:szCs w:val="28"/>
        </w:rPr>
      </w:pPr>
    </w:p>
    <w:sectPr w:rsidR="00C26E76" w:rsidRPr="00C2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53"/>
    <w:rsid w:val="000A5693"/>
    <w:rsid w:val="000A63F3"/>
    <w:rsid w:val="00A06853"/>
    <w:rsid w:val="00C26E76"/>
    <w:rsid w:val="00DD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C26E76"/>
    <w:pPr>
      <w:spacing w:after="200" w:line="276" w:lineRule="auto"/>
      <w:ind w:left="720"/>
      <w:contextualSpacing/>
    </w:pPr>
    <w:rPr>
      <w:rFonts w:eastAsia="Times New Roman"/>
    </w:rPr>
  </w:style>
  <w:style w:type="paragraph" w:styleId="a4">
    <w:name w:val="Balloon Text"/>
    <w:basedOn w:val="a"/>
    <w:link w:val="a5"/>
    <w:uiPriority w:val="99"/>
    <w:semiHidden/>
    <w:unhideWhenUsed/>
    <w:rsid w:val="00C26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E76"/>
    <w:rPr>
      <w:rFonts w:ascii="Tahoma" w:eastAsia="Calibri" w:hAnsi="Tahoma" w:cs="Tahoma"/>
      <w:sz w:val="16"/>
      <w:szCs w:val="16"/>
    </w:rPr>
  </w:style>
  <w:style w:type="paragraph" w:customStyle="1" w:styleId="BlockQuotation">
    <w:name w:val="Block Quotation"/>
    <w:basedOn w:val="a"/>
    <w:rsid w:val="00C26E7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C26E76"/>
    <w:pPr>
      <w:spacing w:after="200" w:line="276" w:lineRule="auto"/>
      <w:ind w:left="720"/>
      <w:contextualSpacing/>
    </w:pPr>
    <w:rPr>
      <w:rFonts w:eastAsia="Times New Roman"/>
    </w:rPr>
  </w:style>
  <w:style w:type="paragraph" w:styleId="a4">
    <w:name w:val="Balloon Text"/>
    <w:basedOn w:val="a"/>
    <w:link w:val="a5"/>
    <w:uiPriority w:val="99"/>
    <w:semiHidden/>
    <w:unhideWhenUsed/>
    <w:rsid w:val="00C26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E76"/>
    <w:rPr>
      <w:rFonts w:ascii="Tahoma" w:eastAsia="Calibri" w:hAnsi="Tahoma" w:cs="Tahoma"/>
      <w:sz w:val="16"/>
      <w:szCs w:val="16"/>
    </w:rPr>
  </w:style>
  <w:style w:type="paragraph" w:customStyle="1" w:styleId="BlockQuotation">
    <w:name w:val="Block Quotation"/>
    <w:basedOn w:val="a"/>
    <w:rsid w:val="00C26E7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volvov.ru/documents/bills/detail.php?id=948537" TargetMode="External"/><Relationship Id="rId5" Type="http://schemas.openxmlformats.org/officeDocument/2006/relationships/hyperlink" Target="https://novolvov.ru/documents/bills/detail.php?id=9485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5</cp:revision>
  <cp:lastPrinted>2020-01-09T10:26:00Z</cp:lastPrinted>
  <dcterms:created xsi:type="dcterms:W3CDTF">2019-12-25T08:19:00Z</dcterms:created>
  <dcterms:modified xsi:type="dcterms:W3CDTF">2020-01-09T10:29:00Z</dcterms:modified>
</cp:coreProperties>
</file>